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9.xml" ContentType="application/vnd.openxmlformats-officedocument.themeOverride+xml"/>
  <Override PartName="/word/drawings/drawing4.xml" ContentType="application/vnd.openxmlformats-officedocument.drawingml.chartshapes+xml"/>
  <Override PartName="/word/charts/chart14.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66D855" w14:textId="77777777" w:rsidR="00E03798" w:rsidRDefault="00E03798">
      <w:pPr>
        <w:sectPr w:rsidR="00E03798">
          <w:footerReference w:type="default" r:id="rId8"/>
          <w:footnotePr>
            <w:numStart w:val="4"/>
          </w:footnotePr>
          <w:pgSz w:w="12240" w:h="15840"/>
          <w:pgMar w:top="1417" w:right="1701" w:bottom="1417" w:left="1701" w:header="708" w:footer="708" w:gutter="0"/>
          <w:cols w:space="708"/>
          <w:docGrid w:linePitch="360"/>
        </w:sectPr>
      </w:pPr>
      <w:r w:rsidRPr="00D13A34">
        <w:rPr>
          <w:rFonts w:ascii="GalanoGrotesque-Medium" w:hAnsi="GalanoGrotesque-Medium"/>
          <w:noProof/>
          <w:lang w:val="es-ES" w:eastAsia="es-ES"/>
        </w:rPr>
        <mc:AlternateContent>
          <mc:Choice Requires="wps">
            <w:drawing>
              <wp:anchor distT="45720" distB="45720" distL="114300" distR="114300" simplePos="0" relativeHeight="251695616" behindDoc="0" locked="0" layoutInCell="1" allowOverlap="1" wp14:anchorId="65AEF01A" wp14:editId="033E0C6F">
                <wp:simplePos x="0" y="0"/>
                <wp:positionH relativeFrom="margin">
                  <wp:posOffset>895350</wp:posOffset>
                </wp:positionH>
                <wp:positionV relativeFrom="paragraph">
                  <wp:posOffset>5326380</wp:posOffset>
                </wp:positionV>
                <wp:extent cx="3819525" cy="1404620"/>
                <wp:effectExtent l="0" t="0" r="0" b="12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noFill/>
                        <a:ln w="9525">
                          <a:noFill/>
                          <a:miter lim="800000"/>
                          <a:headEnd/>
                          <a:tailEnd/>
                        </a:ln>
                      </wps:spPr>
                      <wps:txbx>
                        <w:txbxContent>
                          <w:p w14:paraId="2E816C9A" w14:textId="77777777" w:rsidR="00082EBA" w:rsidRPr="00E03798" w:rsidRDefault="00082EBA" w:rsidP="00E03798">
                            <w:pPr>
                              <w:spacing w:line="440" w:lineRule="exact"/>
                              <w:jc w:val="center"/>
                              <w:rPr>
                                <w:rFonts w:ascii="GalanoGrotesque-Black" w:hAnsi="GalanoGrotesque-Black"/>
                                <w:b/>
                                <w:color w:val="404040" w:themeColor="text1" w:themeTint="BF"/>
                                <w:sz w:val="48"/>
                              </w:rPr>
                            </w:pPr>
                            <w:r w:rsidRPr="00E03798">
                              <w:rPr>
                                <w:rFonts w:ascii="GalanoGrotesque-Black" w:hAnsi="GalanoGrotesque-Black"/>
                                <w:b/>
                                <w:color w:val="404040" w:themeColor="text1" w:themeTint="BF"/>
                                <w:sz w:val="48"/>
                              </w:rPr>
                              <w:t>Plan de Desarrollo Integral del Estado de Michoacán 2015-2021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AEF01A" id="_x0000_t202" coordsize="21600,21600" o:spt="202" path="m,l,21600r21600,l21600,xe">
                <v:stroke joinstyle="miter"/>
                <v:path gradientshapeok="t" o:connecttype="rect"/>
              </v:shapetype>
              <v:shape id="Cuadro de texto 2" o:spid="_x0000_s1026" type="#_x0000_t202" style="position:absolute;margin-left:70.5pt;margin-top:419.4pt;width:300.75pt;height:110.6pt;z-index:251695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" filled="f" stroked="f">
                <v:textbox style="mso-fit-shape-to-text:t">
                  <w:txbxContent>
                    <w:p w14:paraId="2E816C9A" w14:textId="77777777" w:rsidR="00082EBA" w:rsidRPr="00E03798" w:rsidRDefault="00082EBA" w:rsidP="00E03798">
                      <w:pPr>
                        <w:spacing w:line="440" w:lineRule="exact"/>
                        <w:jc w:val="center"/>
                        <w:rPr>
                          <w:rFonts w:ascii="GalanoGrotesque-Black" w:hAnsi="GalanoGrotesque-Black"/>
                          <w:b/>
                          <w:color w:val="404040" w:themeColor="text1" w:themeTint="BF"/>
                          <w:sz w:val="48"/>
                        </w:rPr>
                      </w:pPr>
                      <w:r w:rsidRPr="00E03798">
                        <w:rPr>
                          <w:rFonts w:ascii="GalanoGrotesque-Black" w:hAnsi="GalanoGrotesque-Black"/>
                          <w:b/>
                          <w:color w:val="404040" w:themeColor="text1" w:themeTint="BF"/>
                          <w:sz w:val="48"/>
                        </w:rPr>
                        <w:t>Plan de Desarrollo Integral del Estado de Michoacán 2015-2021</w:t>
                      </w:r>
                    </w:p>
                  </w:txbxContent>
                </v:textbox>
                <w10:wrap type="square" anchorx="margin"/>
              </v:shape>
            </w:pict>
          </mc:Fallback>
        </mc:AlternateContent>
      </w:r>
      <w:r w:rsidRPr="001E7327">
        <w:rPr>
          <w:rFonts w:ascii="GalanoGrotesque-Medium" w:hAnsi="GalanoGrotesque-Medium"/>
          <w:noProof/>
          <w:lang w:val="es-ES" w:eastAsia="es-ES"/>
        </w:rPr>
        <w:drawing>
          <wp:anchor distT="0" distB="0" distL="114300" distR="114300" simplePos="0" relativeHeight="251657728" behindDoc="1" locked="0" layoutInCell="1" allowOverlap="1" wp14:anchorId="7E6FC2E1" wp14:editId="209439AA">
            <wp:simplePos x="0" y="0"/>
            <wp:positionH relativeFrom="margin">
              <wp:posOffset>1016635</wp:posOffset>
            </wp:positionH>
            <wp:positionV relativeFrom="paragraph">
              <wp:posOffset>1882800</wp:posOffset>
            </wp:positionV>
            <wp:extent cx="3571240" cy="3345180"/>
            <wp:effectExtent l="0" t="0" r="0" b="7620"/>
            <wp:wrapNone/>
            <wp:docPr id="1" name="Imagen 32" descr="G:\Logo_Foros_PLADI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Logo_Foros_PLADIEM.png"/>
                    <pic:cNvPicPr>
                      <a:picLocks noChangeAspect="1" noChangeArrowheads="1"/>
                    </pic:cNvPicPr>
                  </pic:nvPicPr>
                  <pic:blipFill>
                    <a:blip r:embed="rId9" cstate="print"/>
                    <a:srcRect/>
                    <a:stretch>
                      <a:fillRect/>
                    </a:stretch>
                  </pic:blipFill>
                  <pic:spPr bwMode="auto">
                    <a:xfrm>
                      <a:off x="0" y="0"/>
                      <a:ext cx="3571240" cy="3345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785FB9C" w14:textId="77777777" w:rsidR="00E03798" w:rsidRDefault="00E03798">
      <w:pPr>
        <w:sectPr w:rsidR="00E03798">
          <w:footnotePr>
            <w:numStart w:val="4"/>
          </w:footnotePr>
          <w:pgSz w:w="12240" w:h="15840"/>
          <w:pgMar w:top="1417" w:right="1701" w:bottom="1417" w:left="1701" w:header="708" w:footer="708" w:gutter="0"/>
          <w:cols w:space="708"/>
          <w:docGrid w:linePitch="360"/>
        </w:sectPr>
      </w:pPr>
      <w:r>
        <w:rPr>
          <w:noProof/>
          <w:lang w:val="es-ES" w:eastAsia="es-ES"/>
        </w:rPr>
        <w:lastRenderedPageBreak/>
        <w:drawing>
          <wp:anchor distT="0" distB="0" distL="114300" distR="114300" simplePos="0" relativeHeight="251696640" behindDoc="0" locked="0" layoutInCell="1" allowOverlap="1" wp14:anchorId="7174E5FA" wp14:editId="2CA7A301">
            <wp:simplePos x="0" y="0"/>
            <wp:positionH relativeFrom="column">
              <wp:posOffset>-1045664</wp:posOffset>
            </wp:positionH>
            <wp:positionV relativeFrom="paragraph">
              <wp:posOffset>-901255</wp:posOffset>
            </wp:positionV>
            <wp:extent cx="7731125" cy="10002520"/>
            <wp:effectExtent l="0" t="0" r="3175" b="0"/>
            <wp:wrapNone/>
            <wp:docPr id="3" name="Imagen 3" descr="C:\Users\Angel\AppData\Local\Microsoft\Windows\INetCache\Content.Word\Port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ppData\Local\Microsoft\Windows\INetCache\Content.Word\Portad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31125" cy="10002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27B7E" w14:textId="77777777" w:rsidR="00EA16FA" w:rsidRPr="007B4312" w:rsidRDefault="00EA16FA" w:rsidP="00EA16FA">
      <w:pPr>
        <w:spacing w:after="0"/>
        <w:jc w:val="center"/>
        <w:rPr>
          <w:rFonts w:ascii="GalanoGrotesque-Medium" w:hAnsi="GalanoGrotesque-Medium"/>
          <w:b/>
          <w:color w:val="595959" w:themeColor="text1" w:themeTint="A6"/>
          <w:sz w:val="16"/>
        </w:rPr>
      </w:pPr>
      <w:r w:rsidRPr="007B4312">
        <w:rPr>
          <w:rFonts w:ascii="GalanoGrotesque-Medium" w:hAnsi="GalanoGrotesque-Medium"/>
          <w:b/>
          <w:color w:val="595959" w:themeColor="text1" w:themeTint="A6"/>
          <w:sz w:val="36"/>
        </w:rPr>
        <w:lastRenderedPageBreak/>
        <w:t>Directorio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tblGrid>
      <w:tr w:rsidR="00EA16FA" w:rsidRPr="004C595E" w14:paraId="4D819390" w14:textId="77777777" w:rsidTr="00831758">
        <w:trPr>
          <w:trHeight w:val="492"/>
          <w:jc w:val="center"/>
        </w:trPr>
        <w:tc>
          <w:tcPr>
            <w:tcW w:w="4819" w:type="dxa"/>
            <w:vAlign w:val="center"/>
          </w:tcPr>
          <w:p w14:paraId="3218793A" w14:textId="77777777" w:rsidR="00EA16FA" w:rsidRPr="004C595E" w:rsidRDefault="00EA16FA" w:rsidP="00831758">
            <w:pPr>
              <w:spacing w:line="180" w:lineRule="exact"/>
              <w:jc w:val="center"/>
              <w:rPr>
                <w:rFonts w:ascii="GalanoGrotesque-Light" w:hAnsi="GalanoGrotesque-Light" w:cs="Arial"/>
                <w:color w:val="000000"/>
                <w:sz w:val="18"/>
                <w:szCs w:val="18"/>
              </w:rPr>
            </w:pPr>
            <w:r w:rsidRPr="004C595E">
              <w:rPr>
                <w:rFonts w:ascii="GalanoGrotesque-Light" w:hAnsi="GalanoGrotesque-Light" w:cs="Arial"/>
                <w:b/>
                <w:bCs/>
                <w:color w:val="000000"/>
                <w:sz w:val="18"/>
                <w:szCs w:val="18"/>
              </w:rPr>
              <w:t>Ing. Silvano Aureoles Conejo</w:t>
            </w:r>
          </w:p>
          <w:p w14:paraId="6FEF61A3"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color w:val="000000"/>
                <w:sz w:val="18"/>
                <w:szCs w:val="18"/>
              </w:rPr>
              <w:t>Gobernador Constitucional del Estado Libre y Soberano de Michoacán de Ocampo</w:t>
            </w:r>
          </w:p>
        </w:tc>
      </w:tr>
      <w:tr w:rsidR="00EA16FA" w:rsidRPr="004C595E" w14:paraId="0FAB6DC8" w14:textId="77777777" w:rsidTr="00831758">
        <w:trPr>
          <w:trHeight w:val="273"/>
          <w:jc w:val="center"/>
        </w:trPr>
        <w:tc>
          <w:tcPr>
            <w:tcW w:w="4819" w:type="dxa"/>
            <w:hideMark/>
          </w:tcPr>
          <w:p w14:paraId="7F06E422" w14:textId="77777777" w:rsidR="00EA16FA" w:rsidRPr="004C595E" w:rsidRDefault="00EA16FA" w:rsidP="00831758">
            <w:pPr>
              <w:spacing w:line="180" w:lineRule="exact"/>
              <w:jc w:val="center"/>
              <w:rPr>
                <w:rFonts w:ascii="GalanoGrotesque-Light" w:hAnsi="GalanoGrotesque-Light" w:cs="Arial"/>
                <w:b/>
                <w:bCs/>
                <w:color w:val="000000"/>
                <w:sz w:val="18"/>
                <w:szCs w:val="18"/>
              </w:rPr>
            </w:pPr>
            <w:r w:rsidRPr="004C595E">
              <w:rPr>
                <w:rFonts w:ascii="GalanoGrotesque-Light" w:hAnsi="GalanoGrotesque-Light" w:cs="Arial"/>
                <w:b/>
                <w:bCs/>
                <w:color w:val="000000"/>
                <w:sz w:val="18"/>
                <w:szCs w:val="18"/>
              </w:rPr>
              <w:t>Lic. Adrián López Solís</w:t>
            </w:r>
          </w:p>
          <w:p w14:paraId="466AF0F9" w14:textId="77777777" w:rsidR="00EA16FA" w:rsidRPr="004C595E" w:rsidRDefault="00EA16FA" w:rsidP="00831758">
            <w:pPr>
              <w:spacing w:line="180" w:lineRule="exact"/>
              <w:jc w:val="center"/>
              <w:rPr>
                <w:rFonts w:ascii="GalanoGrotesque-Light" w:hAnsi="GalanoGrotesque-Light" w:cs="Arial"/>
                <w:b/>
                <w:bCs/>
                <w:color w:val="000000"/>
                <w:sz w:val="18"/>
                <w:szCs w:val="18"/>
              </w:rPr>
            </w:pPr>
            <w:r w:rsidRPr="004C595E">
              <w:rPr>
                <w:rFonts w:ascii="GalanoGrotesque-Light" w:hAnsi="GalanoGrotesque-Light" w:cs="Arial"/>
                <w:color w:val="000000"/>
                <w:sz w:val="18"/>
                <w:szCs w:val="18"/>
              </w:rPr>
              <w:t>Secretario de Gobierno</w:t>
            </w:r>
          </w:p>
        </w:tc>
      </w:tr>
      <w:tr w:rsidR="00EA16FA" w:rsidRPr="004C595E" w14:paraId="5936D3CD" w14:textId="77777777" w:rsidTr="00831758">
        <w:trPr>
          <w:trHeight w:val="407"/>
          <w:jc w:val="center"/>
        </w:trPr>
        <w:tc>
          <w:tcPr>
            <w:tcW w:w="4819" w:type="dxa"/>
            <w:hideMark/>
          </w:tcPr>
          <w:p w14:paraId="3E9F45A8"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 xml:space="preserve">Mtro. Víctor </w:t>
            </w:r>
            <w:proofErr w:type="spellStart"/>
            <w:r w:rsidRPr="004C595E">
              <w:rPr>
                <w:rFonts w:ascii="GalanoGrotesque-Light" w:hAnsi="GalanoGrotesque-Light" w:cs="Arial"/>
                <w:b/>
                <w:bCs/>
                <w:sz w:val="18"/>
                <w:szCs w:val="18"/>
              </w:rPr>
              <w:t>Lichtinger</w:t>
            </w:r>
            <w:proofErr w:type="spellEnd"/>
            <w:r w:rsidRPr="004C595E">
              <w:rPr>
                <w:rFonts w:ascii="GalanoGrotesque-Light" w:hAnsi="GalanoGrotesque-Light" w:cs="Arial"/>
                <w:b/>
                <w:bCs/>
                <w:sz w:val="18"/>
                <w:szCs w:val="18"/>
              </w:rPr>
              <w:t xml:space="preserve"> </w:t>
            </w:r>
            <w:proofErr w:type="spellStart"/>
            <w:r w:rsidRPr="004C595E">
              <w:rPr>
                <w:rFonts w:ascii="GalanoGrotesque-Light" w:hAnsi="GalanoGrotesque-Light" w:cs="Arial"/>
                <w:b/>
                <w:bCs/>
                <w:sz w:val="18"/>
                <w:szCs w:val="18"/>
              </w:rPr>
              <w:t>Waisman</w:t>
            </w:r>
            <w:proofErr w:type="spellEnd"/>
          </w:p>
          <w:p w14:paraId="7F401A1D"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Coordinador General de Gabinete y Planeación</w:t>
            </w:r>
          </w:p>
        </w:tc>
      </w:tr>
      <w:tr w:rsidR="00EA16FA" w:rsidRPr="004C595E" w14:paraId="677BC1D3" w14:textId="77777777" w:rsidTr="00831758">
        <w:trPr>
          <w:trHeight w:val="241"/>
          <w:jc w:val="center"/>
        </w:trPr>
        <w:tc>
          <w:tcPr>
            <w:tcW w:w="4819" w:type="dxa"/>
            <w:hideMark/>
          </w:tcPr>
          <w:p w14:paraId="276856AF"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Lic. Carlos Maldonado Mendoza</w:t>
            </w:r>
          </w:p>
          <w:p w14:paraId="68D25109"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Secretario de Finanzas y Administración</w:t>
            </w:r>
          </w:p>
        </w:tc>
      </w:tr>
      <w:tr w:rsidR="00EA16FA" w:rsidRPr="004C595E" w14:paraId="03E63765" w14:textId="77777777" w:rsidTr="00831758">
        <w:trPr>
          <w:trHeight w:val="420"/>
          <w:jc w:val="center"/>
        </w:trPr>
        <w:tc>
          <w:tcPr>
            <w:tcW w:w="4819" w:type="dxa"/>
            <w:hideMark/>
          </w:tcPr>
          <w:p w14:paraId="11C7A9A6" w14:textId="77777777" w:rsidR="00EA16FA" w:rsidRPr="004C595E" w:rsidRDefault="00EA16FA" w:rsidP="00831758">
            <w:pPr>
              <w:spacing w:line="180" w:lineRule="exact"/>
              <w:jc w:val="center"/>
              <w:rPr>
                <w:rFonts w:ascii="GalanoGrotesque-Light" w:hAnsi="GalanoGrotesque-Light" w:cs="Arial"/>
                <w:b/>
                <w:bCs/>
                <w:sz w:val="18"/>
                <w:szCs w:val="18"/>
              </w:rPr>
            </w:pPr>
            <w:r w:rsidRPr="004C595E">
              <w:rPr>
                <w:rFonts w:ascii="GalanoGrotesque-Light" w:hAnsi="GalanoGrotesque-Light" w:cs="Arial"/>
                <w:b/>
                <w:bCs/>
                <w:sz w:val="18"/>
                <w:szCs w:val="18"/>
              </w:rPr>
              <w:t>Mtra. Silvia Estrada Esquivel</w:t>
            </w:r>
          </w:p>
          <w:p w14:paraId="33C411A8"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Secretaria de Contraloría</w:t>
            </w:r>
          </w:p>
        </w:tc>
      </w:tr>
      <w:tr w:rsidR="00EA16FA" w:rsidRPr="004C595E" w14:paraId="1202307D" w14:textId="77777777" w:rsidTr="00831758">
        <w:trPr>
          <w:trHeight w:val="412"/>
          <w:jc w:val="center"/>
        </w:trPr>
        <w:tc>
          <w:tcPr>
            <w:tcW w:w="4819" w:type="dxa"/>
            <w:hideMark/>
          </w:tcPr>
          <w:p w14:paraId="31E7DD9B"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Comisario General Lic. José Antonio Bernal Bustamante</w:t>
            </w:r>
          </w:p>
          <w:p w14:paraId="272D5AD4"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Secretario de Seguridad Pública</w:t>
            </w:r>
          </w:p>
        </w:tc>
      </w:tr>
      <w:tr w:rsidR="00EA16FA" w:rsidRPr="004C595E" w14:paraId="571D905B" w14:textId="77777777" w:rsidTr="00831758">
        <w:trPr>
          <w:trHeight w:val="412"/>
          <w:jc w:val="center"/>
        </w:trPr>
        <w:tc>
          <w:tcPr>
            <w:tcW w:w="4819" w:type="dxa"/>
          </w:tcPr>
          <w:p w14:paraId="790AEB19" w14:textId="77777777" w:rsidR="00EA16FA" w:rsidRPr="004C595E" w:rsidRDefault="00EA16FA" w:rsidP="00831758">
            <w:pPr>
              <w:spacing w:line="180" w:lineRule="exact"/>
              <w:jc w:val="center"/>
              <w:rPr>
                <w:rFonts w:ascii="GalanoGrotesque-Light" w:hAnsi="GalanoGrotesque-Light" w:cs="Arial"/>
                <w:b/>
                <w:bCs/>
                <w:sz w:val="18"/>
                <w:szCs w:val="18"/>
              </w:rPr>
            </w:pPr>
            <w:r w:rsidRPr="004C595E">
              <w:rPr>
                <w:rFonts w:ascii="GalanoGrotesque-Light" w:hAnsi="GalanoGrotesque-Light" w:cs="Arial"/>
                <w:b/>
                <w:bCs/>
                <w:sz w:val="18"/>
                <w:szCs w:val="18"/>
              </w:rPr>
              <w:t xml:space="preserve">Lic. Dolores de los Ángeles </w:t>
            </w:r>
            <w:proofErr w:type="spellStart"/>
            <w:r w:rsidRPr="004C595E">
              <w:rPr>
                <w:rFonts w:ascii="GalanoGrotesque-Light" w:hAnsi="GalanoGrotesque-Light" w:cs="Arial"/>
                <w:b/>
                <w:bCs/>
                <w:sz w:val="18"/>
                <w:szCs w:val="18"/>
              </w:rPr>
              <w:t>Názares</w:t>
            </w:r>
            <w:proofErr w:type="spellEnd"/>
            <w:r w:rsidRPr="004C595E">
              <w:rPr>
                <w:rFonts w:ascii="GalanoGrotesque-Light" w:hAnsi="GalanoGrotesque-Light" w:cs="Arial"/>
                <w:b/>
                <w:bCs/>
                <w:sz w:val="18"/>
                <w:szCs w:val="18"/>
              </w:rPr>
              <w:t xml:space="preserve"> Jerónimo </w:t>
            </w:r>
          </w:p>
          <w:p w14:paraId="32EA070F" w14:textId="77777777" w:rsidR="00EA16FA" w:rsidRPr="004C595E" w:rsidRDefault="00EA16FA" w:rsidP="00831758">
            <w:pPr>
              <w:spacing w:line="180" w:lineRule="exact"/>
              <w:jc w:val="center"/>
              <w:rPr>
                <w:rFonts w:ascii="GalanoGrotesque-Light" w:hAnsi="GalanoGrotesque-Light" w:cs="Arial"/>
                <w:b/>
                <w:bCs/>
                <w:sz w:val="18"/>
                <w:szCs w:val="18"/>
              </w:rPr>
            </w:pPr>
            <w:r w:rsidRPr="004C595E">
              <w:rPr>
                <w:rFonts w:ascii="GalanoGrotesque-Light" w:hAnsi="GalanoGrotesque-Light" w:cs="Arial"/>
                <w:sz w:val="18"/>
                <w:szCs w:val="18"/>
              </w:rPr>
              <w:t>Secretaria Ejecutiva del Sistema Estatal de Seguridad Pública</w:t>
            </w:r>
            <w:r w:rsidRPr="004C595E">
              <w:rPr>
                <w:rFonts w:ascii="GalanoGrotesque-Light" w:hAnsi="GalanoGrotesque-Light" w:cs="Arial"/>
                <w:b/>
                <w:bCs/>
                <w:sz w:val="18"/>
                <w:szCs w:val="18"/>
              </w:rPr>
              <w:t xml:space="preserve"> </w:t>
            </w:r>
          </w:p>
        </w:tc>
      </w:tr>
      <w:tr w:rsidR="00EA16FA" w:rsidRPr="004C595E" w14:paraId="25CDEB1D" w14:textId="77777777" w:rsidTr="00831758">
        <w:trPr>
          <w:trHeight w:val="417"/>
          <w:jc w:val="center"/>
        </w:trPr>
        <w:tc>
          <w:tcPr>
            <w:tcW w:w="4819" w:type="dxa"/>
            <w:hideMark/>
          </w:tcPr>
          <w:p w14:paraId="2437DEF5"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Mtro. J. Martín Godoy Castro</w:t>
            </w:r>
          </w:p>
          <w:p w14:paraId="0E712610"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Procurador General de Justicia</w:t>
            </w:r>
          </w:p>
        </w:tc>
      </w:tr>
      <w:tr w:rsidR="00EA16FA" w:rsidRPr="004C595E" w14:paraId="32168A63" w14:textId="77777777" w:rsidTr="00831758">
        <w:trPr>
          <w:trHeight w:val="417"/>
          <w:jc w:val="center"/>
        </w:trPr>
        <w:tc>
          <w:tcPr>
            <w:tcW w:w="4819" w:type="dxa"/>
          </w:tcPr>
          <w:p w14:paraId="67C16CF5"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Lic. Antonio Soto Sánchez</w:t>
            </w:r>
          </w:p>
          <w:p w14:paraId="027DE067" w14:textId="77777777" w:rsidR="00EA16FA" w:rsidRPr="004C595E" w:rsidRDefault="00EA16FA" w:rsidP="00831758">
            <w:pPr>
              <w:spacing w:line="180" w:lineRule="exact"/>
              <w:jc w:val="center"/>
              <w:rPr>
                <w:rFonts w:ascii="GalanoGrotesque-Light" w:hAnsi="GalanoGrotesque-Light" w:cs="Arial"/>
                <w:b/>
                <w:bCs/>
                <w:sz w:val="18"/>
                <w:szCs w:val="18"/>
              </w:rPr>
            </w:pPr>
            <w:r w:rsidRPr="004C595E">
              <w:rPr>
                <w:rFonts w:ascii="GalanoGrotesque-Light" w:hAnsi="GalanoGrotesque-Light" w:cs="Arial"/>
                <w:sz w:val="18"/>
                <w:szCs w:val="18"/>
              </w:rPr>
              <w:t>Secretario de Desarrollo Económico</w:t>
            </w:r>
          </w:p>
        </w:tc>
      </w:tr>
      <w:tr w:rsidR="00EA16FA" w:rsidRPr="004C595E" w14:paraId="52E17EA5" w14:textId="77777777" w:rsidTr="00831758">
        <w:trPr>
          <w:trHeight w:val="410"/>
          <w:jc w:val="center"/>
        </w:trPr>
        <w:tc>
          <w:tcPr>
            <w:tcW w:w="4819" w:type="dxa"/>
            <w:hideMark/>
          </w:tcPr>
          <w:p w14:paraId="25C7CFEF"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Lic. Liliana López Buenrostro</w:t>
            </w:r>
          </w:p>
          <w:p w14:paraId="7D80D7BE"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Secretaria de Turismo</w:t>
            </w:r>
          </w:p>
        </w:tc>
      </w:tr>
      <w:tr w:rsidR="00EA16FA" w:rsidRPr="004C595E" w14:paraId="4C9CA03A" w14:textId="77777777" w:rsidTr="00831758">
        <w:trPr>
          <w:trHeight w:val="416"/>
          <w:jc w:val="center"/>
        </w:trPr>
        <w:tc>
          <w:tcPr>
            <w:tcW w:w="4819" w:type="dxa"/>
          </w:tcPr>
          <w:p w14:paraId="2FC46C10" w14:textId="77777777" w:rsidR="00EA16FA" w:rsidRPr="004C595E" w:rsidRDefault="00EA16FA" w:rsidP="00831758">
            <w:pPr>
              <w:spacing w:line="180" w:lineRule="exact"/>
              <w:jc w:val="center"/>
              <w:rPr>
                <w:rFonts w:ascii="GalanoGrotesque-Light" w:hAnsi="GalanoGrotesque-Light" w:cs="Arial"/>
                <w:b/>
                <w:bCs/>
                <w:sz w:val="18"/>
                <w:szCs w:val="18"/>
              </w:rPr>
            </w:pPr>
            <w:r w:rsidRPr="004C595E">
              <w:rPr>
                <w:rFonts w:ascii="GalanoGrotesque-Light" w:hAnsi="GalanoGrotesque-Light" w:cs="Arial"/>
                <w:b/>
                <w:bCs/>
                <w:sz w:val="18"/>
                <w:szCs w:val="18"/>
              </w:rPr>
              <w:t xml:space="preserve">Dr. José Luis Espinosa Montañez </w:t>
            </w:r>
          </w:p>
          <w:p w14:paraId="1D727FC6" w14:textId="77777777" w:rsidR="00EA16FA" w:rsidRPr="004C595E" w:rsidRDefault="00EA16FA" w:rsidP="00831758">
            <w:pPr>
              <w:spacing w:line="180" w:lineRule="exact"/>
              <w:jc w:val="center"/>
              <w:rPr>
                <w:rFonts w:ascii="GalanoGrotesque-Light" w:hAnsi="GalanoGrotesque-Light" w:cs="Arial"/>
                <w:b/>
                <w:bCs/>
                <w:sz w:val="18"/>
                <w:szCs w:val="18"/>
              </w:rPr>
            </w:pPr>
            <w:r w:rsidRPr="004C595E">
              <w:rPr>
                <w:rFonts w:ascii="GalanoGrotesque-Light" w:hAnsi="GalanoGrotesque-Light" w:cs="Arial"/>
                <w:sz w:val="18"/>
                <w:szCs w:val="18"/>
              </w:rPr>
              <w:t>Secretario de Innovación, Ciencia y Desarrollo Tecnológico</w:t>
            </w:r>
            <w:r w:rsidRPr="004C595E">
              <w:rPr>
                <w:rFonts w:ascii="GalanoGrotesque-Light" w:hAnsi="GalanoGrotesque-Light" w:cs="Arial"/>
                <w:b/>
                <w:bCs/>
                <w:sz w:val="18"/>
                <w:szCs w:val="18"/>
              </w:rPr>
              <w:t xml:space="preserve"> </w:t>
            </w:r>
          </w:p>
        </w:tc>
      </w:tr>
      <w:tr w:rsidR="00EA16FA" w:rsidRPr="004C595E" w14:paraId="1779B856" w14:textId="77777777" w:rsidTr="00831758">
        <w:trPr>
          <w:trHeight w:val="416"/>
          <w:jc w:val="center"/>
        </w:trPr>
        <w:tc>
          <w:tcPr>
            <w:tcW w:w="4819" w:type="dxa"/>
            <w:hideMark/>
          </w:tcPr>
          <w:p w14:paraId="2FBBADFC"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 xml:space="preserve">Ing. Israel </w:t>
            </w:r>
            <w:proofErr w:type="spellStart"/>
            <w:r w:rsidRPr="004C595E">
              <w:rPr>
                <w:rFonts w:ascii="GalanoGrotesque-Light" w:hAnsi="GalanoGrotesque-Light" w:cs="Arial"/>
                <w:b/>
                <w:bCs/>
                <w:sz w:val="18"/>
                <w:szCs w:val="18"/>
              </w:rPr>
              <w:t>Tentory</w:t>
            </w:r>
            <w:proofErr w:type="spellEnd"/>
            <w:r w:rsidRPr="004C595E">
              <w:rPr>
                <w:rFonts w:ascii="GalanoGrotesque-Light" w:hAnsi="GalanoGrotesque-Light" w:cs="Arial"/>
                <w:b/>
                <w:bCs/>
                <w:sz w:val="18"/>
                <w:szCs w:val="18"/>
              </w:rPr>
              <w:t xml:space="preserve"> García</w:t>
            </w:r>
          </w:p>
          <w:p w14:paraId="4E0E5903"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Secretario de Desarrollo Rural</w:t>
            </w:r>
            <w:r w:rsidRPr="004C595E">
              <w:rPr>
                <w:rFonts w:ascii="Calibri" w:hAnsi="Calibri" w:cs="Calibri"/>
                <w:sz w:val="18"/>
                <w:szCs w:val="18"/>
              </w:rPr>
              <w:t> </w:t>
            </w:r>
            <w:r w:rsidRPr="004C595E">
              <w:rPr>
                <w:rFonts w:ascii="GalanoGrotesque-Light" w:hAnsi="GalanoGrotesque-Light" w:cs="Arial"/>
                <w:sz w:val="18"/>
                <w:szCs w:val="18"/>
              </w:rPr>
              <w:t>y Agroalimentario</w:t>
            </w:r>
          </w:p>
        </w:tc>
      </w:tr>
      <w:tr w:rsidR="00EA16FA" w:rsidRPr="004C595E" w14:paraId="4B5B01E0" w14:textId="77777777" w:rsidTr="00831758">
        <w:trPr>
          <w:trHeight w:val="408"/>
          <w:jc w:val="center"/>
        </w:trPr>
        <w:tc>
          <w:tcPr>
            <w:tcW w:w="4819" w:type="dxa"/>
            <w:hideMark/>
          </w:tcPr>
          <w:p w14:paraId="33A17277"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Ing. José Juan Domínguez López</w:t>
            </w:r>
          </w:p>
          <w:p w14:paraId="53B1140C"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Secretario de Comunicaciones y Obras Públicas</w:t>
            </w:r>
          </w:p>
        </w:tc>
      </w:tr>
      <w:tr w:rsidR="00EA16FA" w:rsidRPr="004C595E" w14:paraId="1034BFE3" w14:textId="77777777" w:rsidTr="00831758">
        <w:trPr>
          <w:trHeight w:val="427"/>
          <w:jc w:val="center"/>
        </w:trPr>
        <w:tc>
          <w:tcPr>
            <w:tcW w:w="4819" w:type="dxa"/>
            <w:hideMark/>
          </w:tcPr>
          <w:p w14:paraId="7D63CF54"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Ing. Ricardo Luna García</w:t>
            </w:r>
          </w:p>
          <w:p w14:paraId="7915CB5D"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Secretario de Medio Ambiente, Recursos Naturales</w:t>
            </w:r>
          </w:p>
          <w:p w14:paraId="5427A6BF"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y Cambio Climático</w:t>
            </w:r>
          </w:p>
        </w:tc>
      </w:tr>
      <w:tr w:rsidR="00EA16FA" w:rsidRPr="004C595E" w14:paraId="0C71BBDE" w14:textId="77777777" w:rsidTr="00831758">
        <w:trPr>
          <w:trHeight w:val="384"/>
          <w:jc w:val="center"/>
        </w:trPr>
        <w:tc>
          <w:tcPr>
            <w:tcW w:w="4819" w:type="dxa"/>
            <w:hideMark/>
          </w:tcPr>
          <w:p w14:paraId="52B21A6A" w14:textId="77777777" w:rsidR="00EA16FA" w:rsidRPr="004C595E" w:rsidRDefault="00EA16FA" w:rsidP="00831758">
            <w:pPr>
              <w:spacing w:line="180" w:lineRule="exact"/>
              <w:jc w:val="center"/>
              <w:rPr>
                <w:rFonts w:ascii="GalanoGrotesque-Light" w:hAnsi="GalanoGrotesque-Light" w:cs="Arial"/>
                <w:b/>
                <w:bCs/>
                <w:sz w:val="18"/>
                <w:szCs w:val="18"/>
              </w:rPr>
            </w:pPr>
            <w:r w:rsidRPr="004C595E">
              <w:rPr>
                <w:rFonts w:ascii="GalanoGrotesque-Light" w:hAnsi="GalanoGrotesque-Light" w:cs="Arial"/>
                <w:b/>
                <w:bCs/>
                <w:sz w:val="18"/>
                <w:szCs w:val="18"/>
              </w:rPr>
              <w:t xml:space="preserve">M. en Urb. Sergio </w:t>
            </w:r>
            <w:proofErr w:type="spellStart"/>
            <w:r w:rsidRPr="004C595E">
              <w:rPr>
                <w:rFonts w:ascii="GalanoGrotesque-Light" w:hAnsi="GalanoGrotesque-Light" w:cs="Arial"/>
                <w:b/>
                <w:bCs/>
                <w:sz w:val="18"/>
                <w:szCs w:val="18"/>
              </w:rPr>
              <w:t>Adem</w:t>
            </w:r>
            <w:proofErr w:type="spellEnd"/>
            <w:r w:rsidRPr="004C595E">
              <w:rPr>
                <w:rFonts w:ascii="GalanoGrotesque-Light" w:hAnsi="GalanoGrotesque-Light" w:cs="Arial"/>
                <w:b/>
                <w:bCs/>
                <w:sz w:val="18"/>
                <w:szCs w:val="18"/>
              </w:rPr>
              <w:t xml:space="preserve"> Argueta</w:t>
            </w:r>
          </w:p>
          <w:p w14:paraId="15AC4221"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Cs/>
                <w:sz w:val="18"/>
                <w:szCs w:val="18"/>
              </w:rPr>
              <w:t>Secretario de Desarrollo Territorial, Urbano y Movilidad</w:t>
            </w:r>
          </w:p>
        </w:tc>
      </w:tr>
      <w:tr w:rsidR="00EA16FA" w:rsidRPr="004C595E" w14:paraId="3E0A0DC7" w14:textId="77777777" w:rsidTr="00831758">
        <w:trPr>
          <w:trHeight w:val="414"/>
          <w:jc w:val="center"/>
        </w:trPr>
        <w:tc>
          <w:tcPr>
            <w:tcW w:w="4819" w:type="dxa"/>
          </w:tcPr>
          <w:p w14:paraId="0240D8E4"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Dra. Silvia Ma. Concepción Figueroa Zamudio</w:t>
            </w:r>
          </w:p>
          <w:p w14:paraId="0CCD60DF" w14:textId="77777777" w:rsidR="00EA16FA" w:rsidRPr="004C595E" w:rsidRDefault="00EA16FA" w:rsidP="00831758">
            <w:pPr>
              <w:spacing w:line="180" w:lineRule="exact"/>
              <w:jc w:val="center"/>
              <w:rPr>
                <w:rFonts w:ascii="GalanoGrotesque-Light" w:hAnsi="GalanoGrotesque-Light" w:cs="Arial"/>
                <w:b/>
                <w:bCs/>
                <w:sz w:val="18"/>
                <w:szCs w:val="18"/>
              </w:rPr>
            </w:pPr>
            <w:r w:rsidRPr="004C595E">
              <w:rPr>
                <w:rFonts w:ascii="GalanoGrotesque-Light" w:hAnsi="GalanoGrotesque-Light" w:cs="Arial"/>
                <w:sz w:val="18"/>
                <w:szCs w:val="18"/>
              </w:rPr>
              <w:t>Secretaria de Educación</w:t>
            </w:r>
          </w:p>
        </w:tc>
      </w:tr>
      <w:tr w:rsidR="00EA16FA" w:rsidRPr="004C595E" w14:paraId="49AEE0A7" w14:textId="77777777" w:rsidTr="00831758">
        <w:trPr>
          <w:trHeight w:val="414"/>
          <w:jc w:val="center"/>
        </w:trPr>
        <w:tc>
          <w:tcPr>
            <w:tcW w:w="4819" w:type="dxa"/>
          </w:tcPr>
          <w:p w14:paraId="22BF4FB2"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 xml:space="preserve">Mtro. Salvador </w:t>
            </w:r>
            <w:proofErr w:type="spellStart"/>
            <w:r w:rsidRPr="004C595E">
              <w:rPr>
                <w:rFonts w:ascii="GalanoGrotesque-Light" w:hAnsi="GalanoGrotesque-Light" w:cs="Arial"/>
                <w:b/>
                <w:bCs/>
                <w:sz w:val="18"/>
                <w:szCs w:val="18"/>
              </w:rPr>
              <w:t>Ginori</w:t>
            </w:r>
            <w:proofErr w:type="spellEnd"/>
            <w:r w:rsidRPr="004C595E">
              <w:rPr>
                <w:rFonts w:ascii="GalanoGrotesque-Light" w:hAnsi="GalanoGrotesque-Light" w:cs="Arial"/>
                <w:b/>
                <w:bCs/>
                <w:sz w:val="18"/>
                <w:szCs w:val="18"/>
              </w:rPr>
              <w:t xml:space="preserve"> Lozano</w:t>
            </w:r>
          </w:p>
          <w:p w14:paraId="20612400" w14:textId="77777777" w:rsidR="00EA16FA" w:rsidRPr="004C595E" w:rsidRDefault="00EA16FA" w:rsidP="00831758">
            <w:pPr>
              <w:spacing w:line="180" w:lineRule="exact"/>
              <w:jc w:val="center"/>
              <w:rPr>
                <w:rFonts w:ascii="GalanoGrotesque-Light" w:hAnsi="GalanoGrotesque-Light" w:cs="Arial"/>
                <w:b/>
                <w:bCs/>
                <w:sz w:val="18"/>
                <w:szCs w:val="18"/>
              </w:rPr>
            </w:pPr>
            <w:r w:rsidRPr="004C595E">
              <w:rPr>
                <w:rFonts w:ascii="GalanoGrotesque-Light" w:hAnsi="GalanoGrotesque-Light" w:cs="Arial"/>
                <w:sz w:val="18"/>
                <w:szCs w:val="18"/>
              </w:rPr>
              <w:t>Secretario de Cultura</w:t>
            </w:r>
          </w:p>
        </w:tc>
      </w:tr>
      <w:tr w:rsidR="00EA16FA" w:rsidRPr="004C595E" w14:paraId="4825B51D" w14:textId="77777777" w:rsidTr="00831758">
        <w:trPr>
          <w:trHeight w:val="420"/>
          <w:jc w:val="center"/>
        </w:trPr>
        <w:tc>
          <w:tcPr>
            <w:tcW w:w="4819" w:type="dxa"/>
            <w:hideMark/>
          </w:tcPr>
          <w:p w14:paraId="54ED398A"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 xml:space="preserve">Dr. Carlos Esteban Aranza </w:t>
            </w:r>
            <w:proofErr w:type="spellStart"/>
            <w:r w:rsidRPr="004C595E">
              <w:rPr>
                <w:rFonts w:ascii="GalanoGrotesque-Light" w:hAnsi="GalanoGrotesque-Light" w:cs="Arial"/>
                <w:b/>
                <w:bCs/>
                <w:sz w:val="18"/>
                <w:szCs w:val="18"/>
              </w:rPr>
              <w:t>Doniz</w:t>
            </w:r>
            <w:proofErr w:type="spellEnd"/>
          </w:p>
          <w:p w14:paraId="2BC538ED"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Secretario de Salud</w:t>
            </w:r>
          </w:p>
        </w:tc>
      </w:tr>
      <w:tr w:rsidR="00EA16FA" w:rsidRPr="004C595E" w14:paraId="4595D70F" w14:textId="77777777" w:rsidTr="00831758">
        <w:trPr>
          <w:trHeight w:val="412"/>
          <w:jc w:val="center"/>
        </w:trPr>
        <w:tc>
          <w:tcPr>
            <w:tcW w:w="4819" w:type="dxa"/>
            <w:hideMark/>
          </w:tcPr>
          <w:p w14:paraId="69A1EB48"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Lic. Miriam Tinoco Soto</w:t>
            </w:r>
          </w:p>
          <w:p w14:paraId="03CC0985"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Secretaria de Política Social</w:t>
            </w:r>
          </w:p>
        </w:tc>
      </w:tr>
      <w:tr w:rsidR="00EA16FA" w:rsidRPr="004C595E" w14:paraId="57208AFC" w14:textId="77777777" w:rsidTr="00831758">
        <w:trPr>
          <w:trHeight w:val="417"/>
          <w:jc w:val="center"/>
        </w:trPr>
        <w:tc>
          <w:tcPr>
            <w:tcW w:w="4819" w:type="dxa"/>
            <w:hideMark/>
          </w:tcPr>
          <w:p w14:paraId="20682694"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Lic. Ángel Alonso Molina</w:t>
            </w:r>
          </w:p>
          <w:p w14:paraId="569CC438"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Secretario de los Pueblos Indígenas</w:t>
            </w:r>
          </w:p>
        </w:tc>
      </w:tr>
      <w:tr w:rsidR="00EA16FA" w:rsidRPr="004C595E" w14:paraId="776CE1A1" w14:textId="77777777" w:rsidTr="00831758">
        <w:trPr>
          <w:trHeight w:val="424"/>
          <w:jc w:val="center"/>
        </w:trPr>
        <w:tc>
          <w:tcPr>
            <w:tcW w:w="4819" w:type="dxa"/>
            <w:hideMark/>
          </w:tcPr>
          <w:p w14:paraId="1680BBF1"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Mtro. José Luis Gutiérrez</w:t>
            </w:r>
          </w:p>
          <w:p w14:paraId="63B6D095"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Secretario del Migrante</w:t>
            </w:r>
          </w:p>
        </w:tc>
      </w:tr>
      <w:tr w:rsidR="00EA16FA" w:rsidRPr="004C595E" w14:paraId="750991B3" w14:textId="77777777" w:rsidTr="00831758">
        <w:trPr>
          <w:trHeight w:val="416"/>
          <w:jc w:val="center"/>
        </w:trPr>
        <w:tc>
          <w:tcPr>
            <w:tcW w:w="4819" w:type="dxa"/>
            <w:hideMark/>
          </w:tcPr>
          <w:p w14:paraId="2718E735"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Mtra. Fabiola Alanís Sámano</w:t>
            </w:r>
          </w:p>
          <w:p w14:paraId="016AB0B4"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 xml:space="preserve">Secretaria de Igualdad Sustantiva y Desarrollo de las Mujeres Michoacanas </w:t>
            </w:r>
          </w:p>
        </w:tc>
      </w:tr>
      <w:tr w:rsidR="00EA16FA" w:rsidRPr="004C595E" w14:paraId="6B3799AD" w14:textId="77777777" w:rsidTr="00831758">
        <w:trPr>
          <w:trHeight w:val="408"/>
          <w:jc w:val="center"/>
        </w:trPr>
        <w:tc>
          <w:tcPr>
            <w:tcW w:w="4819" w:type="dxa"/>
            <w:hideMark/>
          </w:tcPr>
          <w:p w14:paraId="0B277598"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LCC. Julieta López Bautista</w:t>
            </w:r>
          </w:p>
          <w:p w14:paraId="03D70716"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Coordinadora General de  Comunicación Social</w:t>
            </w:r>
          </w:p>
        </w:tc>
      </w:tr>
      <w:tr w:rsidR="00EA16FA" w:rsidRPr="004C595E" w14:paraId="30DF28FA" w14:textId="77777777" w:rsidTr="00831758">
        <w:trPr>
          <w:trHeight w:val="427"/>
          <w:jc w:val="center"/>
        </w:trPr>
        <w:tc>
          <w:tcPr>
            <w:tcW w:w="4819" w:type="dxa"/>
            <w:hideMark/>
          </w:tcPr>
          <w:p w14:paraId="4F0F7503"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b/>
                <w:bCs/>
                <w:sz w:val="18"/>
                <w:szCs w:val="18"/>
              </w:rPr>
              <w:t>Lic. Patricia Flores Anguiano</w:t>
            </w:r>
          </w:p>
          <w:p w14:paraId="1F08D4F9" w14:textId="77777777" w:rsidR="00EA16FA" w:rsidRPr="004C595E" w:rsidRDefault="00EA16FA" w:rsidP="00831758">
            <w:pPr>
              <w:spacing w:line="180" w:lineRule="exact"/>
              <w:jc w:val="center"/>
              <w:rPr>
                <w:rFonts w:ascii="GalanoGrotesque-Light" w:hAnsi="GalanoGrotesque-Light" w:cs="Arial"/>
                <w:sz w:val="18"/>
                <w:szCs w:val="18"/>
              </w:rPr>
            </w:pPr>
            <w:r w:rsidRPr="004C595E">
              <w:rPr>
                <w:rFonts w:ascii="GalanoGrotesque-Light" w:hAnsi="GalanoGrotesque-Light" w:cs="Arial"/>
                <w:sz w:val="18"/>
                <w:szCs w:val="18"/>
              </w:rPr>
              <w:t xml:space="preserve">Directora de la Comisión para el Desarrollo Sostenible de la Costa Michoacana </w:t>
            </w:r>
          </w:p>
        </w:tc>
      </w:tr>
      <w:tr w:rsidR="00EA16FA" w:rsidRPr="004C595E" w14:paraId="752E44D6" w14:textId="77777777" w:rsidTr="00831758">
        <w:trPr>
          <w:trHeight w:val="427"/>
          <w:jc w:val="center"/>
        </w:trPr>
        <w:tc>
          <w:tcPr>
            <w:tcW w:w="4819" w:type="dxa"/>
          </w:tcPr>
          <w:p w14:paraId="7C33D476" w14:textId="77777777" w:rsidR="00EA16FA" w:rsidRPr="004C595E" w:rsidRDefault="00EA16FA" w:rsidP="00831758">
            <w:pPr>
              <w:spacing w:line="180" w:lineRule="exact"/>
              <w:jc w:val="center"/>
              <w:rPr>
                <w:rFonts w:ascii="GalanoGrotesque-Light" w:hAnsi="GalanoGrotesque-Light" w:cs="Arial"/>
                <w:b/>
                <w:bCs/>
                <w:sz w:val="18"/>
                <w:szCs w:val="18"/>
              </w:rPr>
            </w:pPr>
            <w:r w:rsidRPr="004C595E">
              <w:rPr>
                <w:rFonts w:ascii="GalanoGrotesque-Light" w:hAnsi="GalanoGrotesque-Light" w:cs="Arial"/>
                <w:b/>
                <w:bCs/>
                <w:sz w:val="18"/>
                <w:szCs w:val="18"/>
              </w:rPr>
              <w:t xml:space="preserve">C. </w:t>
            </w:r>
            <w:proofErr w:type="spellStart"/>
            <w:r w:rsidRPr="004C595E">
              <w:rPr>
                <w:rFonts w:ascii="GalanoGrotesque-Light" w:hAnsi="GalanoGrotesque-Light" w:cs="Arial"/>
                <w:b/>
                <w:bCs/>
                <w:sz w:val="18"/>
                <w:szCs w:val="18"/>
              </w:rPr>
              <w:t>Giulianna</w:t>
            </w:r>
            <w:proofErr w:type="spellEnd"/>
            <w:r w:rsidRPr="004C595E">
              <w:rPr>
                <w:rFonts w:ascii="GalanoGrotesque-Light" w:hAnsi="GalanoGrotesque-Light" w:cs="Arial"/>
                <w:b/>
                <w:bCs/>
                <w:sz w:val="18"/>
                <w:szCs w:val="18"/>
              </w:rPr>
              <w:t xml:space="preserve"> </w:t>
            </w:r>
            <w:proofErr w:type="spellStart"/>
            <w:r w:rsidRPr="004C595E">
              <w:rPr>
                <w:rFonts w:ascii="GalanoGrotesque-Light" w:hAnsi="GalanoGrotesque-Light" w:cs="Arial"/>
                <w:b/>
                <w:bCs/>
                <w:sz w:val="18"/>
                <w:szCs w:val="18"/>
              </w:rPr>
              <w:t>Bugarini</w:t>
            </w:r>
            <w:proofErr w:type="spellEnd"/>
            <w:r w:rsidRPr="004C595E">
              <w:rPr>
                <w:rFonts w:ascii="GalanoGrotesque-Light" w:hAnsi="GalanoGrotesque-Light" w:cs="Arial"/>
                <w:b/>
                <w:bCs/>
                <w:sz w:val="18"/>
                <w:szCs w:val="18"/>
              </w:rPr>
              <w:t xml:space="preserve"> Torres</w:t>
            </w:r>
          </w:p>
          <w:p w14:paraId="6B6AA44E" w14:textId="77777777" w:rsidR="00EA16FA" w:rsidRPr="004C595E" w:rsidRDefault="00EA16FA" w:rsidP="00831758">
            <w:pPr>
              <w:spacing w:line="180" w:lineRule="exact"/>
              <w:jc w:val="center"/>
              <w:rPr>
                <w:rFonts w:ascii="GalanoGrotesque-Light" w:hAnsi="GalanoGrotesque-Light" w:cs="Arial"/>
                <w:b/>
                <w:bCs/>
                <w:sz w:val="18"/>
                <w:szCs w:val="18"/>
              </w:rPr>
            </w:pPr>
            <w:r w:rsidRPr="004C595E">
              <w:rPr>
                <w:rFonts w:ascii="GalanoGrotesque-Light" w:hAnsi="GalanoGrotesque-Light" w:cs="Arial"/>
                <w:sz w:val="18"/>
                <w:szCs w:val="18"/>
              </w:rPr>
              <w:t>Directora del Instituto de la Juventud Michoacana</w:t>
            </w:r>
            <w:r w:rsidRPr="004C595E">
              <w:rPr>
                <w:rFonts w:ascii="GalanoGrotesque-Light" w:hAnsi="GalanoGrotesque-Light" w:cs="Arial"/>
                <w:b/>
                <w:bCs/>
                <w:sz w:val="18"/>
                <w:szCs w:val="18"/>
              </w:rPr>
              <w:t xml:space="preserve"> </w:t>
            </w:r>
          </w:p>
        </w:tc>
      </w:tr>
    </w:tbl>
    <w:p w14:paraId="0B13B35E" w14:textId="77777777" w:rsidR="00EA16FA" w:rsidRDefault="00EA16FA" w:rsidP="00EA16FA">
      <w:pPr>
        <w:spacing w:after="0"/>
        <w:jc w:val="center"/>
        <w:rPr>
          <w:rFonts w:ascii="GalanoGrotesque-Medium" w:hAnsi="GalanoGrotesque-Medium"/>
          <w:color w:val="595959" w:themeColor="text1" w:themeTint="A6"/>
          <w:sz w:val="16"/>
        </w:rPr>
        <w:sectPr w:rsidR="00EA16FA" w:rsidSect="00EA16FA">
          <w:footnotePr>
            <w:numStart w:val="4"/>
          </w:footnotePr>
          <w:pgSz w:w="12240" w:h="15840"/>
          <w:pgMar w:top="1417" w:right="1701" w:bottom="1417" w:left="1701" w:header="708" w:footer="708" w:gutter="0"/>
          <w:cols w:space="708"/>
          <w:docGrid w:linePitch="360"/>
        </w:sectPr>
      </w:pPr>
    </w:p>
    <w:sdt>
      <w:sdtPr>
        <w:rPr>
          <w:rFonts w:asciiTheme="minorHAnsi" w:eastAsiaTheme="minorHAnsi" w:hAnsiTheme="minorHAnsi" w:cstheme="minorBidi"/>
          <w:color w:val="auto"/>
          <w:sz w:val="22"/>
          <w:szCs w:val="22"/>
          <w:lang w:val="es-ES" w:eastAsia="en-US"/>
        </w:rPr>
        <w:id w:val="740988127"/>
        <w:docPartObj>
          <w:docPartGallery w:val="Table of Contents"/>
          <w:docPartUnique/>
        </w:docPartObj>
      </w:sdtPr>
      <w:sdtEndPr>
        <w:rPr>
          <w:b/>
          <w:bCs/>
        </w:rPr>
      </w:sdtEndPr>
      <w:sdtContent>
        <w:p w14:paraId="4E7F9B0A" w14:textId="03455688" w:rsidR="00F70ABD" w:rsidRPr="007B4312" w:rsidRDefault="00F70ABD">
          <w:pPr>
            <w:pStyle w:val="TtulodeTDC"/>
            <w:rPr>
              <w:rFonts w:ascii="GalanoGrotesque-Black" w:hAnsi="GalanoGrotesque-Black"/>
              <w:b/>
            </w:rPr>
          </w:pPr>
          <w:r w:rsidRPr="007B4312">
            <w:rPr>
              <w:rFonts w:ascii="GalanoGrotesque-Black" w:hAnsi="GalanoGrotesque-Black"/>
              <w:b/>
              <w:color w:val="404040" w:themeColor="text1" w:themeTint="BF"/>
              <w:lang w:val="es-ES"/>
            </w:rPr>
            <w:t>Contenido</w:t>
          </w:r>
        </w:p>
        <w:p w14:paraId="028434BF" w14:textId="77777777" w:rsidR="00AC5558" w:rsidRPr="00AC5558" w:rsidRDefault="00F70ABD">
          <w:pPr>
            <w:pStyle w:val="TDC1"/>
            <w:tabs>
              <w:tab w:val="right" w:leader="dot" w:pos="8828"/>
            </w:tabs>
            <w:rPr>
              <w:rFonts w:ascii="GalanoGrotesque-Medium" w:eastAsiaTheme="minorEastAsia" w:hAnsi="GalanoGrotesque-Medium"/>
              <w:noProof/>
              <w:color w:val="404040" w:themeColor="text1" w:themeTint="BF"/>
              <w:lang w:eastAsia="es-MX"/>
            </w:rPr>
          </w:pPr>
          <w:r>
            <w:fldChar w:fldCharType="begin"/>
          </w:r>
          <w:r>
            <w:instrText xml:space="preserve"> TOC \o "1-3" \h \z \u </w:instrText>
          </w:r>
          <w:r>
            <w:fldChar w:fldCharType="separate"/>
          </w:r>
          <w:hyperlink w:anchor="_Toc458015629" w:history="1">
            <w:r w:rsidR="00AC5558" w:rsidRPr="00AC5558">
              <w:rPr>
                <w:rStyle w:val="Hipervnculo"/>
                <w:rFonts w:ascii="GalanoGrotesque-Medium" w:hAnsi="GalanoGrotesque-Medium"/>
                <w:noProof/>
                <w:color w:val="404040" w:themeColor="text1" w:themeTint="BF"/>
              </w:rPr>
              <w:t>Mensaje del C. Gobernador</w:t>
            </w:r>
            <w:r w:rsidR="00AC5558" w:rsidRPr="00AC5558">
              <w:rPr>
                <w:rFonts w:ascii="GalanoGrotesque-Medium" w:hAnsi="GalanoGrotesque-Medium"/>
                <w:noProof/>
                <w:webHidden/>
                <w:color w:val="404040" w:themeColor="text1" w:themeTint="BF"/>
              </w:rPr>
              <w:tab/>
            </w:r>
            <w:r w:rsidR="00AC5558" w:rsidRPr="00AC5558">
              <w:rPr>
                <w:rFonts w:ascii="GalanoGrotesque-Medium" w:hAnsi="GalanoGrotesque-Medium"/>
                <w:noProof/>
                <w:webHidden/>
                <w:color w:val="404040" w:themeColor="text1" w:themeTint="BF"/>
              </w:rPr>
              <w:fldChar w:fldCharType="begin"/>
            </w:r>
            <w:r w:rsidR="00AC5558" w:rsidRPr="00AC5558">
              <w:rPr>
                <w:rFonts w:ascii="GalanoGrotesque-Medium" w:hAnsi="GalanoGrotesque-Medium"/>
                <w:noProof/>
                <w:webHidden/>
                <w:color w:val="404040" w:themeColor="text1" w:themeTint="BF"/>
              </w:rPr>
              <w:instrText xml:space="preserve"> PAGEREF _Toc458015629 \h </w:instrText>
            </w:r>
            <w:r w:rsidR="00AC5558" w:rsidRPr="00AC5558">
              <w:rPr>
                <w:rFonts w:ascii="GalanoGrotesque-Medium" w:hAnsi="GalanoGrotesque-Medium"/>
                <w:noProof/>
                <w:webHidden/>
                <w:color w:val="404040" w:themeColor="text1" w:themeTint="BF"/>
              </w:rPr>
            </w:r>
            <w:r w:rsidR="00AC5558"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1</w:t>
            </w:r>
            <w:r w:rsidR="00AC5558" w:rsidRPr="00AC5558">
              <w:rPr>
                <w:rFonts w:ascii="GalanoGrotesque-Medium" w:hAnsi="GalanoGrotesque-Medium"/>
                <w:noProof/>
                <w:webHidden/>
                <w:color w:val="404040" w:themeColor="text1" w:themeTint="BF"/>
              </w:rPr>
              <w:fldChar w:fldCharType="end"/>
            </w:r>
          </w:hyperlink>
        </w:p>
        <w:p w14:paraId="24E836A4" w14:textId="342DD2E7" w:rsidR="00AC5558" w:rsidRPr="00AC5558" w:rsidRDefault="00082EBA">
          <w:pPr>
            <w:pStyle w:val="TDC1"/>
            <w:tabs>
              <w:tab w:val="right" w:leader="dot" w:pos="8828"/>
            </w:tabs>
            <w:rPr>
              <w:rFonts w:ascii="GalanoGrotesque-Medium" w:eastAsiaTheme="minorEastAsia" w:hAnsi="GalanoGrotesque-Medium"/>
              <w:noProof/>
              <w:color w:val="404040" w:themeColor="text1" w:themeTint="BF"/>
              <w:lang w:eastAsia="es-MX"/>
            </w:rPr>
          </w:pPr>
          <w:hyperlink w:anchor="_Toc458015630" w:history="1">
            <w:r w:rsidR="00AC5558" w:rsidRPr="00AC5558">
              <w:rPr>
                <w:rStyle w:val="Hipervnculo"/>
                <w:rFonts w:ascii="GalanoGrotesque-Medium" w:hAnsi="GalanoGrotesque-Medium" w:cs="GalanoGrotesque-Black"/>
                <w:noProof/>
                <w:color w:val="404040" w:themeColor="text1" w:themeTint="BF"/>
              </w:rPr>
              <w:t>Introducción</w:t>
            </w:r>
            <w:r w:rsidR="00AC5558" w:rsidRPr="00AC5558">
              <w:rPr>
                <w:rFonts w:ascii="GalanoGrotesque-Medium" w:hAnsi="GalanoGrotesque-Medium"/>
                <w:noProof/>
                <w:webHidden/>
                <w:color w:val="404040" w:themeColor="text1" w:themeTint="BF"/>
              </w:rPr>
              <w:tab/>
            </w:r>
            <w:r w:rsidR="00AC5558" w:rsidRPr="00AC5558">
              <w:rPr>
                <w:rFonts w:ascii="GalanoGrotesque-Medium" w:hAnsi="GalanoGrotesque-Medium"/>
                <w:noProof/>
                <w:webHidden/>
                <w:color w:val="404040" w:themeColor="text1" w:themeTint="BF"/>
              </w:rPr>
              <w:fldChar w:fldCharType="begin"/>
            </w:r>
            <w:r w:rsidR="00AC5558" w:rsidRPr="00AC5558">
              <w:rPr>
                <w:rFonts w:ascii="GalanoGrotesque-Medium" w:hAnsi="GalanoGrotesque-Medium"/>
                <w:noProof/>
                <w:webHidden/>
                <w:color w:val="404040" w:themeColor="text1" w:themeTint="BF"/>
              </w:rPr>
              <w:instrText xml:space="preserve"> PAGEREF _Toc458015630 \h </w:instrText>
            </w:r>
            <w:r w:rsidR="00AC5558" w:rsidRPr="00AC5558">
              <w:rPr>
                <w:rFonts w:ascii="GalanoGrotesque-Medium" w:hAnsi="GalanoGrotesque-Medium"/>
                <w:noProof/>
                <w:webHidden/>
                <w:color w:val="404040" w:themeColor="text1" w:themeTint="BF"/>
              </w:rPr>
            </w:r>
            <w:r w:rsidR="00AC5558"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2</w:t>
            </w:r>
            <w:r w:rsidR="00AC5558" w:rsidRPr="00AC5558">
              <w:rPr>
                <w:rFonts w:ascii="GalanoGrotesque-Medium" w:hAnsi="GalanoGrotesque-Medium"/>
                <w:noProof/>
                <w:webHidden/>
                <w:color w:val="404040" w:themeColor="text1" w:themeTint="BF"/>
              </w:rPr>
              <w:fldChar w:fldCharType="end"/>
            </w:r>
          </w:hyperlink>
        </w:p>
        <w:p w14:paraId="7B84EE58" w14:textId="2A33C4BA" w:rsidR="00AC5558" w:rsidRPr="00AC5558" w:rsidRDefault="00082EBA">
          <w:pPr>
            <w:pStyle w:val="TDC1"/>
            <w:tabs>
              <w:tab w:val="right" w:leader="dot" w:pos="8828"/>
            </w:tabs>
            <w:rPr>
              <w:rFonts w:ascii="GalanoGrotesque-Medium" w:eastAsiaTheme="minorEastAsia" w:hAnsi="GalanoGrotesque-Medium"/>
              <w:noProof/>
              <w:color w:val="404040" w:themeColor="text1" w:themeTint="BF"/>
              <w:lang w:eastAsia="es-MX"/>
            </w:rPr>
          </w:pPr>
          <w:hyperlink w:anchor="_Toc458015631" w:history="1">
            <w:r w:rsidR="00AC5558" w:rsidRPr="00AC5558">
              <w:rPr>
                <w:rStyle w:val="Hipervnculo"/>
                <w:rFonts w:ascii="GalanoGrotesque-Medium" w:hAnsi="GalanoGrotesque-Medium" w:cs="GalanoGrotesque-Black"/>
                <w:noProof/>
                <w:color w:val="404040" w:themeColor="text1" w:themeTint="BF"/>
              </w:rPr>
              <w:t>Misión, visión y valores</w:t>
            </w:r>
            <w:r w:rsidR="00AC5558" w:rsidRPr="00AC5558">
              <w:rPr>
                <w:rFonts w:ascii="GalanoGrotesque-Medium" w:hAnsi="GalanoGrotesque-Medium"/>
                <w:noProof/>
                <w:webHidden/>
                <w:color w:val="404040" w:themeColor="text1" w:themeTint="BF"/>
              </w:rPr>
              <w:tab/>
            </w:r>
            <w:r w:rsidR="00AC5558" w:rsidRPr="00AC5558">
              <w:rPr>
                <w:rFonts w:ascii="GalanoGrotesque-Medium" w:hAnsi="GalanoGrotesque-Medium"/>
                <w:noProof/>
                <w:webHidden/>
                <w:color w:val="404040" w:themeColor="text1" w:themeTint="BF"/>
              </w:rPr>
              <w:fldChar w:fldCharType="begin"/>
            </w:r>
            <w:r w:rsidR="00AC5558" w:rsidRPr="00AC5558">
              <w:rPr>
                <w:rFonts w:ascii="GalanoGrotesque-Medium" w:hAnsi="GalanoGrotesque-Medium"/>
                <w:noProof/>
                <w:webHidden/>
                <w:color w:val="404040" w:themeColor="text1" w:themeTint="BF"/>
              </w:rPr>
              <w:instrText xml:space="preserve"> PAGEREF _Toc458015631 \h </w:instrText>
            </w:r>
            <w:r w:rsidR="00AC5558" w:rsidRPr="00AC5558">
              <w:rPr>
                <w:rFonts w:ascii="GalanoGrotesque-Medium" w:hAnsi="GalanoGrotesque-Medium"/>
                <w:noProof/>
                <w:webHidden/>
                <w:color w:val="404040" w:themeColor="text1" w:themeTint="BF"/>
              </w:rPr>
            </w:r>
            <w:r w:rsidR="00AC5558"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5</w:t>
            </w:r>
            <w:r w:rsidR="00AC5558" w:rsidRPr="00AC5558">
              <w:rPr>
                <w:rFonts w:ascii="GalanoGrotesque-Medium" w:hAnsi="GalanoGrotesque-Medium"/>
                <w:noProof/>
                <w:webHidden/>
                <w:color w:val="404040" w:themeColor="text1" w:themeTint="BF"/>
              </w:rPr>
              <w:fldChar w:fldCharType="end"/>
            </w:r>
          </w:hyperlink>
        </w:p>
        <w:p w14:paraId="35B8A2BA" w14:textId="65B0CE72" w:rsidR="00AC5558" w:rsidRPr="00AC5558" w:rsidRDefault="00082EBA">
          <w:pPr>
            <w:pStyle w:val="TDC1"/>
            <w:tabs>
              <w:tab w:val="left" w:pos="440"/>
              <w:tab w:val="right" w:leader="dot" w:pos="8828"/>
            </w:tabs>
            <w:rPr>
              <w:rFonts w:ascii="GalanoGrotesque-Medium" w:eastAsiaTheme="minorEastAsia" w:hAnsi="GalanoGrotesque-Medium"/>
              <w:noProof/>
              <w:color w:val="404040" w:themeColor="text1" w:themeTint="BF"/>
              <w:lang w:eastAsia="es-MX"/>
            </w:rPr>
          </w:pPr>
          <w:hyperlink w:anchor="_Toc458015632" w:history="1">
            <w:r w:rsidR="00AC5558" w:rsidRPr="00AC5558">
              <w:rPr>
                <w:rStyle w:val="Hipervnculo"/>
                <w:rFonts w:ascii="GalanoGrotesque-Medium" w:hAnsi="GalanoGrotesque-Medium" w:cs="GalanoGrotesque-Black"/>
                <w:noProof/>
                <w:color w:val="404040" w:themeColor="text1" w:themeTint="BF"/>
              </w:rPr>
              <w:t>Marco Jurídico</w:t>
            </w:r>
            <w:r w:rsidR="00AC5558" w:rsidRPr="00AC5558">
              <w:rPr>
                <w:rFonts w:ascii="GalanoGrotesque-Medium" w:hAnsi="GalanoGrotesque-Medium"/>
                <w:noProof/>
                <w:webHidden/>
                <w:color w:val="404040" w:themeColor="text1" w:themeTint="BF"/>
              </w:rPr>
              <w:tab/>
            </w:r>
            <w:r w:rsidR="00AC5558" w:rsidRPr="00AC5558">
              <w:rPr>
                <w:rFonts w:ascii="GalanoGrotesque-Medium" w:hAnsi="GalanoGrotesque-Medium"/>
                <w:noProof/>
                <w:webHidden/>
                <w:color w:val="404040" w:themeColor="text1" w:themeTint="BF"/>
              </w:rPr>
              <w:fldChar w:fldCharType="begin"/>
            </w:r>
            <w:r w:rsidR="00AC5558" w:rsidRPr="00AC5558">
              <w:rPr>
                <w:rFonts w:ascii="GalanoGrotesque-Medium" w:hAnsi="GalanoGrotesque-Medium"/>
                <w:noProof/>
                <w:webHidden/>
                <w:color w:val="404040" w:themeColor="text1" w:themeTint="BF"/>
              </w:rPr>
              <w:instrText xml:space="preserve"> PAGEREF _Toc458015632 \h </w:instrText>
            </w:r>
            <w:r w:rsidR="00AC5558" w:rsidRPr="00AC5558">
              <w:rPr>
                <w:rFonts w:ascii="GalanoGrotesque-Medium" w:hAnsi="GalanoGrotesque-Medium"/>
                <w:noProof/>
                <w:webHidden/>
                <w:color w:val="404040" w:themeColor="text1" w:themeTint="BF"/>
              </w:rPr>
            </w:r>
            <w:r w:rsidR="00AC5558"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6</w:t>
            </w:r>
            <w:r w:rsidR="00AC5558" w:rsidRPr="00AC5558">
              <w:rPr>
                <w:rFonts w:ascii="GalanoGrotesque-Medium" w:hAnsi="GalanoGrotesque-Medium"/>
                <w:noProof/>
                <w:webHidden/>
                <w:color w:val="404040" w:themeColor="text1" w:themeTint="BF"/>
              </w:rPr>
              <w:fldChar w:fldCharType="end"/>
            </w:r>
          </w:hyperlink>
        </w:p>
        <w:p w14:paraId="07477DAF" w14:textId="313A6F81" w:rsidR="00AC5558" w:rsidRPr="00AC5558" w:rsidRDefault="00082EBA">
          <w:pPr>
            <w:pStyle w:val="TDC1"/>
            <w:tabs>
              <w:tab w:val="left" w:pos="440"/>
              <w:tab w:val="right" w:leader="dot" w:pos="8828"/>
            </w:tabs>
            <w:rPr>
              <w:rFonts w:ascii="GalanoGrotesque-Medium" w:eastAsiaTheme="minorEastAsia" w:hAnsi="GalanoGrotesque-Medium"/>
              <w:noProof/>
              <w:color w:val="404040" w:themeColor="text1" w:themeTint="BF"/>
              <w:lang w:eastAsia="es-MX"/>
            </w:rPr>
          </w:pPr>
          <w:hyperlink w:anchor="_Toc458015633" w:history="1">
            <w:r w:rsidR="00AC5558" w:rsidRPr="00AC5558">
              <w:rPr>
                <w:rStyle w:val="Hipervnculo"/>
                <w:rFonts w:ascii="GalanoGrotesque-Medium" w:hAnsi="GalanoGrotesque-Medium" w:cs="GalanoGrotesque-Black"/>
                <w:noProof/>
                <w:color w:val="404040" w:themeColor="text1" w:themeTint="BF"/>
              </w:rPr>
              <w:t>Enfoque Metodológico y Conceptual</w:t>
            </w:r>
            <w:r w:rsidR="00AC5558" w:rsidRPr="00AC5558">
              <w:rPr>
                <w:rFonts w:ascii="GalanoGrotesque-Medium" w:hAnsi="GalanoGrotesque-Medium"/>
                <w:noProof/>
                <w:webHidden/>
                <w:color w:val="404040" w:themeColor="text1" w:themeTint="BF"/>
              </w:rPr>
              <w:tab/>
            </w:r>
            <w:r w:rsidR="00AC5558" w:rsidRPr="00AC5558">
              <w:rPr>
                <w:rFonts w:ascii="GalanoGrotesque-Medium" w:hAnsi="GalanoGrotesque-Medium"/>
                <w:noProof/>
                <w:webHidden/>
                <w:color w:val="404040" w:themeColor="text1" w:themeTint="BF"/>
              </w:rPr>
              <w:fldChar w:fldCharType="begin"/>
            </w:r>
            <w:r w:rsidR="00AC5558" w:rsidRPr="00AC5558">
              <w:rPr>
                <w:rFonts w:ascii="GalanoGrotesque-Medium" w:hAnsi="GalanoGrotesque-Medium"/>
                <w:noProof/>
                <w:webHidden/>
                <w:color w:val="404040" w:themeColor="text1" w:themeTint="BF"/>
              </w:rPr>
              <w:instrText xml:space="preserve"> PAGEREF _Toc458015633 \h </w:instrText>
            </w:r>
            <w:r w:rsidR="00AC5558" w:rsidRPr="00AC5558">
              <w:rPr>
                <w:rFonts w:ascii="GalanoGrotesque-Medium" w:hAnsi="GalanoGrotesque-Medium"/>
                <w:noProof/>
                <w:webHidden/>
                <w:color w:val="404040" w:themeColor="text1" w:themeTint="BF"/>
              </w:rPr>
            </w:r>
            <w:r w:rsidR="00AC5558"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7</w:t>
            </w:r>
            <w:r w:rsidR="00AC5558" w:rsidRPr="00AC5558">
              <w:rPr>
                <w:rFonts w:ascii="GalanoGrotesque-Medium" w:hAnsi="GalanoGrotesque-Medium"/>
                <w:noProof/>
                <w:webHidden/>
                <w:color w:val="404040" w:themeColor="text1" w:themeTint="BF"/>
              </w:rPr>
              <w:fldChar w:fldCharType="end"/>
            </w:r>
          </w:hyperlink>
        </w:p>
        <w:p w14:paraId="5CAD5A52" w14:textId="29435F5D" w:rsidR="00AC5558" w:rsidRPr="00AC5558" w:rsidRDefault="00082EBA">
          <w:pPr>
            <w:pStyle w:val="TDC1"/>
            <w:tabs>
              <w:tab w:val="left" w:pos="440"/>
              <w:tab w:val="right" w:leader="dot" w:pos="8828"/>
            </w:tabs>
            <w:rPr>
              <w:rFonts w:ascii="GalanoGrotesque-Medium" w:eastAsiaTheme="minorEastAsia" w:hAnsi="GalanoGrotesque-Medium"/>
              <w:noProof/>
              <w:color w:val="404040" w:themeColor="text1" w:themeTint="BF"/>
              <w:lang w:eastAsia="es-MX"/>
            </w:rPr>
          </w:pPr>
          <w:hyperlink w:anchor="_Toc458015634" w:history="1">
            <w:r w:rsidR="00AC5558" w:rsidRPr="00AC5558">
              <w:rPr>
                <w:rStyle w:val="Hipervnculo"/>
                <w:rFonts w:ascii="GalanoGrotesque-Medium" w:hAnsi="GalanoGrotesque-Medium" w:cs="Arial"/>
                <w:noProof/>
                <w:color w:val="404040" w:themeColor="text1" w:themeTint="BF"/>
              </w:rPr>
              <w:t>Vinculación con el Plan Nacional de Desarrollo</w:t>
            </w:r>
            <w:r w:rsidR="00AC5558" w:rsidRPr="00AC5558">
              <w:rPr>
                <w:rFonts w:ascii="GalanoGrotesque-Medium" w:hAnsi="GalanoGrotesque-Medium"/>
                <w:noProof/>
                <w:webHidden/>
                <w:color w:val="404040" w:themeColor="text1" w:themeTint="BF"/>
              </w:rPr>
              <w:tab/>
            </w:r>
            <w:r w:rsidR="00AC5558" w:rsidRPr="00AC5558">
              <w:rPr>
                <w:rFonts w:ascii="GalanoGrotesque-Medium" w:hAnsi="GalanoGrotesque-Medium"/>
                <w:noProof/>
                <w:webHidden/>
                <w:color w:val="404040" w:themeColor="text1" w:themeTint="BF"/>
              </w:rPr>
              <w:fldChar w:fldCharType="begin"/>
            </w:r>
            <w:r w:rsidR="00AC5558" w:rsidRPr="00AC5558">
              <w:rPr>
                <w:rFonts w:ascii="GalanoGrotesque-Medium" w:hAnsi="GalanoGrotesque-Medium"/>
                <w:noProof/>
                <w:webHidden/>
                <w:color w:val="404040" w:themeColor="text1" w:themeTint="BF"/>
              </w:rPr>
              <w:instrText xml:space="preserve"> PAGEREF _Toc458015634 \h </w:instrText>
            </w:r>
            <w:r w:rsidR="00AC5558" w:rsidRPr="00AC5558">
              <w:rPr>
                <w:rFonts w:ascii="GalanoGrotesque-Medium" w:hAnsi="GalanoGrotesque-Medium"/>
                <w:noProof/>
                <w:webHidden/>
                <w:color w:val="404040" w:themeColor="text1" w:themeTint="BF"/>
              </w:rPr>
            </w:r>
            <w:r w:rsidR="00AC5558"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12</w:t>
            </w:r>
            <w:r w:rsidR="00AC5558" w:rsidRPr="00AC5558">
              <w:rPr>
                <w:rFonts w:ascii="GalanoGrotesque-Medium" w:hAnsi="GalanoGrotesque-Medium"/>
                <w:noProof/>
                <w:webHidden/>
                <w:color w:val="404040" w:themeColor="text1" w:themeTint="BF"/>
              </w:rPr>
              <w:fldChar w:fldCharType="end"/>
            </w:r>
          </w:hyperlink>
        </w:p>
        <w:p w14:paraId="016EDB07" w14:textId="02BACAB6" w:rsidR="00AC5558" w:rsidRPr="00AC5558" w:rsidRDefault="00082EBA">
          <w:pPr>
            <w:pStyle w:val="TDC1"/>
            <w:tabs>
              <w:tab w:val="left" w:pos="440"/>
              <w:tab w:val="right" w:leader="dot" w:pos="8828"/>
            </w:tabs>
            <w:rPr>
              <w:rFonts w:ascii="GalanoGrotesque-Medium" w:eastAsiaTheme="minorEastAsia" w:hAnsi="GalanoGrotesque-Medium"/>
              <w:noProof/>
              <w:color w:val="404040" w:themeColor="text1" w:themeTint="BF"/>
              <w:lang w:eastAsia="es-MX"/>
            </w:rPr>
          </w:pPr>
          <w:hyperlink w:anchor="_Toc458015635" w:history="1">
            <w:r w:rsidR="00AC5558" w:rsidRPr="00AC5558">
              <w:rPr>
                <w:rStyle w:val="Hipervnculo"/>
                <w:rFonts w:ascii="GalanoGrotesque-Medium" w:hAnsi="GalanoGrotesque-Medium" w:cs="Arial"/>
                <w:noProof/>
                <w:color w:val="404040" w:themeColor="text1" w:themeTint="BF"/>
              </w:rPr>
              <w:t>Prioridades Transversales para el Desarrollo Sostenible del Estado de Michoacán</w:t>
            </w:r>
            <w:r w:rsidR="00AC5558" w:rsidRPr="00AC5558">
              <w:rPr>
                <w:rFonts w:ascii="GalanoGrotesque-Medium" w:hAnsi="GalanoGrotesque-Medium"/>
                <w:noProof/>
                <w:webHidden/>
                <w:color w:val="404040" w:themeColor="text1" w:themeTint="BF"/>
              </w:rPr>
              <w:tab/>
            </w:r>
            <w:r w:rsidR="00AC5558">
              <w:rPr>
                <w:rFonts w:ascii="GalanoGrotesque-Medium" w:hAnsi="GalanoGrotesque-Medium"/>
                <w:noProof/>
                <w:webHidden/>
                <w:color w:val="404040" w:themeColor="text1" w:themeTint="BF"/>
              </w:rPr>
              <w:tab/>
            </w:r>
            <w:r w:rsidR="00AC5558">
              <w:rPr>
                <w:rFonts w:ascii="GalanoGrotesque-Medium" w:hAnsi="GalanoGrotesque-Medium"/>
                <w:noProof/>
                <w:webHidden/>
                <w:color w:val="404040" w:themeColor="text1" w:themeTint="BF"/>
              </w:rPr>
              <w:tab/>
            </w:r>
            <w:r w:rsidR="00AC5558" w:rsidRPr="00AC5558">
              <w:rPr>
                <w:rFonts w:ascii="GalanoGrotesque-Medium" w:hAnsi="GalanoGrotesque-Medium"/>
                <w:noProof/>
                <w:webHidden/>
                <w:color w:val="404040" w:themeColor="text1" w:themeTint="BF"/>
              </w:rPr>
              <w:fldChar w:fldCharType="begin"/>
            </w:r>
            <w:r w:rsidR="00AC5558" w:rsidRPr="00AC5558">
              <w:rPr>
                <w:rFonts w:ascii="GalanoGrotesque-Medium" w:hAnsi="GalanoGrotesque-Medium"/>
                <w:noProof/>
                <w:webHidden/>
                <w:color w:val="404040" w:themeColor="text1" w:themeTint="BF"/>
              </w:rPr>
              <w:instrText xml:space="preserve"> PAGEREF _Toc458015635 \h </w:instrText>
            </w:r>
            <w:r w:rsidR="00AC5558" w:rsidRPr="00AC5558">
              <w:rPr>
                <w:rFonts w:ascii="GalanoGrotesque-Medium" w:hAnsi="GalanoGrotesque-Medium"/>
                <w:noProof/>
                <w:webHidden/>
                <w:color w:val="404040" w:themeColor="text1" w:themeTint="BF"/>
              </w:rPr>
            </w:r>
            <w:r w:rsidR="00AC5558"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14</w:t>
            </w:r>
            <w:r w:rsidR="00AC5558" w:rsidRPr="00AC5558">
              <w:rPr>
                <w:rFonts w:ascii="GalanoGrotesque-Medium" w:hAnsi="GalanoGrotesque-Medium"/>
                <w:noProof/>
                <w:webHidden/>
                <w:color w:val="404040" w:themeColor="text1" w:themeTint="BF"/>
              </w:rPr>
              <w:fldChar w:fldCharType="end"/>
            </w:r>
          </w:hyperlink>
        </w:p>
        <w:p w14:paraId="14D549DA" w14:textId="3B000351" w:rsidR="00AC5558" w:rsidRPr="00AC5558" w:rsidRDefault="00AC5558">
          <w:pPr>
            <w:pStyle w:val="TDC1"/>
            <w:tabs>
              <w:tab w:val="right" w:leader="dot" w:pos="8828"/>
            </w:tabs>
            <w:rPr>
              <w:rFonts w:ascii="GalanoGrotesque-Medium" w:eastAsiaTheme="minorEastAsia" w:hAnsi="GalanoGrotesque-Medium"/>
              <w:noProof/>
              <w:color w:val="404040" w:themeColor="text1" w:themeTint="BF"/>
              <w:lang w:eastAsia="es-MX"/>
            </w:rPr>
          </w:pPr>
          <w:r w:rsidRPr="00AC5558">
            <w:rPr>
              <w:rStyle w:val="Hipervnculo"/>
              <w:rFonts w:ascii="GalanoGrotesque-Medium" w:hAnsi="GalanoGrotesque-Medium"/>
              <w:noProof/>
              <w:color w:val="404040" w:themeColor="text1" w:themeTint="BF"/>
            </w:rPr>
            <w:t xml:space="preserve">1. </w:t>
          </w:r>
          <w:hyperlink w:anchor="_Toc458015636" w:history="1">
            <w:r w:rsidRPr="00AC5558">
              <w:rPr>
                <w:rStyle w:val="Hipervnculo"/>
                <w:rFonts w:ascii="GalanoGrotesque-Medium" w:hAnsi="GalanoGrotesque-Medium"/>
                <w:noProof/>
                <w:color w:val="404040" w:themeColor="text1" w:themeTint="BF"/>
              </w:rPr>
              <w:t>Desarrollo Humano; Educación con Calidad y Acceso a la Salud</w:t>
            </w:r>
            <w:r w:rsidRPr="00AC5558">
              <w:rPr>
                <w:rFonts w:ascii="GalanoGrotesque-Medium" w:hAnsi="GalanoGrotesque-Medium"/>
                <w:noProof/>
                <w:webHidden/>
                <w:color w:val="404040" w:themeColor="text1" w:themeTint="BF"/>
              </w:rPr>
              <w:tab/>
            </w:r>
            <w:r w:rsidRPr="00AC5558">
              <w:rPr>
                <w:rFonts w:ascii="GalanoGrotesque-Medium" w:hAnsi="GalanoGrotesque-Medium"/>
                <w:noProof/>
                <w:webHidden/>
                <w:color w:val="404040" w:themeColor="text1" w:themeTint="BF"/>
              </w:rPr>
              <w:fldChar w:fldCharType="begin"/>
            </w:r>
            <w:r w:rsidRPr="00AC5558">
              <w:rPr>
                <w:rFonts w:ascii="GalanoGrotesque-Medium" w:hAnsi="GalanoGrotesque-Medium"/>
                <w:noProof/>
                <w:webHidden/>
                <w:color w:val="404040" w:themeColor="text1" w:themeTint="BF"/>
              </w:rPr>
              <w:instrText xml:space="preserve"> PAGEREF _Toc458015636 \h </w:instrText>
            </w:r>
            <w:r w:rsidRPr="00AC5558">
              <w:rPr>
                <w:rFonts w:ascii="GalanoGrotesque-Medium" w:hAnsi="GalanoGrotesque-Medium"/>
                <w:noProof/>
                <w:webHidden/>
                <w:color w:val="404040" w:themeColor="text1" w:themeTint="BF"/>
              </w:rPr>
            </w:r>
            <w:r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18</w:t>
            </w:r>
            <w:r w:rsidRPr="00AC5558">
              <w:rPr>
                <w:rFonts w:ascii="GalanoGrotesque-Medium" w:hAnsi="GalanoGrotesque-Medium"/>
                <w:noProof/>
                <w:webHidden/>
                <w:color w:val="404040" w:themeColor="text1" w:themeTint="BF"/>
              </w:rPr>
              <w:fldChar w:fldCharType="end"/>
            </w:r>
          </w:hyperlink>
        </w:p>
        <w:p w14:paraId="0166C9D9" w14:textId="0A8C1D1C" w:rsidR="00AC5558" w:rsidRPr="00AC5558" w:rsidRDefault="00AC5558">
          <w:pPr>
            <w:pStyle w:val="TDC1"/>
            <w:tabs>
              <w:tab w:val="right" w:leader="dot" w:pos="8828"/>
            </w:tabs>
            <w:rPr>
              <w:rFonts w:ascii="GalanoGrotesque-Medium" w:eastAsiaTheme="minorEastAsia" w:hAnsi="GalanoGrotesque-Medium"/>
              <w:noProof/>
              <w:color w:val="404040" w:themeColor="text1" w:themeTint="BF"/>
              <w:lang w:eastAsia="es-MX"/>
            </w:rPr>
          </w:pPr>
          <w:r w:rsidRPr="00AC5558">
            <w:rPr>
              <w:rStyle w:val="Hipervnculo"/>
              <w:rFonts w:ascii="GalanoGrotesque-Medium" w:hAnsi="GalanoGrotesque-Medium"/>
              <w:noProof/>
              <w:color w:val="404040" w:themeColor="text1" w:themeTint="BF"/>
            </w:rPr>
            <w:t xml:space="preserve">2. </w:t>
          </w:r>
          <w:hyperlink w:anchor="_Toc458015638" w:history="1">
            <w:r w:rsidRPr="00AC5558">
              <w:rPr>
                <w:rStyle w:val="Hipervnculo"/>
                <w:rFonts w:ascii="GalanoGrotesque-Medium" w:hAnsi="GalanoGrotesque-Medium"/>
                <w:noProof/>
                <w:color w:val="404040" w:themeColor="text1" w:themeTint="BF"/>
              </w:rPr>
              <w:t>Tranquilidad, Justicia y Paz</w:t>
            </w:r>
            <w:r w:rsidRPr="00AC5558">
              <w:rPr>
                <w:rFonts w:ascii="GalanoGrotesque-Medium" w:hAnsi="GalanoGrotesque-Medium"/>
                <w:noProof/>
                <w:webHidden/>
                <w:color w:val="404040" w:themeColor="text1" w:themeTint="BF"/>
              </w:rPr>
              <w:tab/>
            </w:r>
            <w:r w:rsidRPr="00AC5558">
              <w:rPr>
                <w:rFonts w:ascii="GalanoGrotesque-Medium" w:hAnsi="GalanoGrotesque-Medium"/>
                <w:noProof/>
                <w:webHidden/>
                <w:color w:val="404040" w:themeColor="text1" w:themeTint="BF"/>
              </w:rPr>
              <w:fldChar w:fldCharType="begin"/>
            </w:r>
            <w:r w:rsidRPr="00AC5558">
              <w:rPr>
                <w:rFonts w:ascii="GalanoGrotesque-Medium" w:hAnsi="GalanoGrotesque-Medium"/>
                <w:noProof/>
                <w:webHidden/>
                <w:color w:val="404040" w:themeColor="text1" w:themeTint="BF"/>
              </w:rPr>
              <w:instrText xml:space="preserve"> PAGEREF _Toc458015638 \h </w:instrText>
            </w:r>
            <w:r w:rsidRPr="00AC5558">
              <w:rPr>
                <w:rFonts w:ascii="GalanoGrotesque-Medium" w:hAnsi="GalanoGrotesque-Medium"/>
                <w:noProof/>
                <w:webHidden/>
                <w:color w:val="404040" w:themeColor="text1" w:themeTint="BF"/>
              </w:rPr>
            </w:r>
            <w:r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25</w:t>
            </w:r>
            <w:r w:rsidRPr="00AC5558">
              <w:rPr>
                <w:rFonts w:ascii="GalanoGrotesque-Medium" w:hAnsi="GalanoGrotesque-Medium"/>
                <w:noProof/>
                <w:webHidden/>
                <w:color w:val="404040" w:themeColor="text1" w:themeTint="BF"/>
              </w:rPr>
              <w:fldChar w:fldCharType="end"/>
            </w:r>
          </w:hyperlink>
        </w:p>
        <w:p w14:paraId="5F5A4CD1" w14:textId="3C45771D" w:rsidR="00AC5558" w:rsidRPr="00AC5558" w:rsidRDefault="00AC5558">
          <w:pPr>
            <w:pStyle w:val="TDC1"/>
            <w:tabs>
              <w:tab w:val="right" w:leader="dot" w:pos="8828"/>
            </w:tabs>
            <w:rPr>
              <w:rFonts w:ascii="GalanoGrotesque-Medium" w:eastAsiaTheme="minorEastAsia" w:hAnsi="GalanoGrotesque-Medium"/>
              <w:noProof/>
              <w:color w:val="404040" w:themeColor="text1" w:themeTint="BF"/>
              <w:lang w:eastAsia="es-MX"/>
            </w:rPr>
          </w:pPr>
          <w:r w:rsidRPr="00AC5558">
            <w:rPr>
              <w:rStyle w:val="Hipervnculo"/>
              <w:rFonts w:ascii="GalanoGrotesque-Medium" w:hAnsi="GalanoGrotesque-Medium"/>
              <w:noProof/>
              <w:color w:val="404040" w:themeColor="text1" w:themeTint="BF"/>
            </w:rPr>
            <w:t xml:space="preserve">3. </w:t>
          </w:r>
          <w:hyperlink w:anchor="_Toc458015639" w:history="1">
            <w:r w:rsidRPr="00AC5558">
              <w:rPr>
                <w:rStyle w:val="Hipervnculo"/>
                <w:rFonts w:ascii="GalanoGrotesque-Medium" w:eastAsia="Times New Roman" w:hAnsi="GalanoGrotesque-Medium" w:cs="Arial"/>
                <w:bCs/>
                <w:noProof/>
                <w:color w:val="404040" w:themeColor="text1" w:themeTint="BF"/>
                <w:kern w:val="32"/>
                <w:lang w:val="es-ES" w:eastAsia="es-ES"/>
              </w:rPr>
              <w:t>Prevención del delito</w:t>
            </w:r>
            <w:r w:rsidRPr="00AC5558">
              <w:rPr>
                <w:rFonts w:ascii="GalanoGrotesque-Medium" w:hAnsi="GalanoGrotesque-Medium"/>
                <w:noProof/>
                <w:webHidden/>
                <w:color w:val="404040" w:themeColor="text1" w:themeTint="BF"/>
              </w:rPr>
              <w:tab/>
            </w:r>
            <w:r w:rsidRPr="00AC5558">
              <w:rPr>
                <w:rFonts w:ascii="GalanoGrotesque-Medium" w:hAnsi="GalanoGrotesque-Medium"/>
                <w:noProof/>
                <w:webHidden/>
                <w:color w:val="404040" w:themeColor="text1" w:themeTint="BF"/>
              </w:rPr>
              <w:fldChar w:fldCharType="begin"/>
            </w:r>
            <w:r w:rsidRPr="00AC5558">
              <w:rPr>
                <w:rFonts w:ascii="GalanoGrotesque-Medium" w:hAnsi="GalanoGrotesque-Medium"/>
                <w:noProof/>
                <w:webHidden/>
                <w:color w:val="404040" w:themeColor="text1" w:themeTint="BF"/>
              </w:rPr>
              <w:instrText xml:space="preserve"> PAGEREF _Toc458015639 \h </w:instrText>
            </w:r>
            <w:r w:rsidRPr="00AC5558">
              <w:rPr>
                <w:rFonts w:ascii="GalanoGrotesque-Medium" w:hAnsi="GalanoGrotesque-Medium"/>
                <w:noProof/>
                <w:webHidden/>
                <w:color w:val="404040" w:themeColor="text1" w:themeTint="BF"/>
              </w:rPr>
            </w:r>
            <w:r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32</w:t>
            </w:r>
            <w:r w:rsidRPr="00AC5558">
              <w:rPr>
                <w:rFonts w:ascii="GalanoGrotesque-Medium" w:hAnsi="GalanoGrotesque-Medium"/>
                <w:noProof/>
                <w:webHidden/>
                <w:color w:val="404040" w:themeColor="text1" w:themeTint="BF"/>
              </w:rPr>
              <w:fldChar w:fldCharType="end"/>
            </w:r>
          </w:hyperlink>
        </w:p>
        <w:p w14:paraId="2641D69B" w14:textId="4FF7795D" w:rsidR="00AC5558" w:rsidRPr="00AC5558" w:rsidRDefault="00AC5558">
          <w:pPr>
            <w:pStyle w:val="TDC1"/>
            <w:tabs>
              <w:tab w:val="right" w:leader="dot" w:pos="8828"/>
            </w:tabs>
            <w:rPr>
              <w:rFonts w:ascii="GalanoGrotesque-Medium" w:eastAsiaTheme="minorEastAsia" w:hAnsi="GalanoGrotesque-Medium"/>
              <w:noProof/>
              <w:color w:val="404040" w:themeColor="text1" w:themeTint="BF"/>
              <w:lang w:eastAsia="es-MX"/>
            </w:rPr>
          </w:pPr>
          <w:r w:rsidRPr="00AC5558">
            <w:rPr>
              <w:rStyle w:val="Hipervnculo"/>
              <w:rFonts w:ascii="GalanoGrotesque-Medium" w:hAnsi="GalanoGrotesque-Medium"/>
              <w:noProof/>
              <w:color w:val="404040" w:themeColor="text1" w:themeTint="BF"/>
            </w:rPr>
            <w:t xml:space="preserve">4. </w:t>
          </w:r>
          <w:hyperlink w:anchor="_Toc458015640" w:history="1">
            <w:r w:rsidRPr="00AC5558">
              <w:rPr>
                <w:rStyle w:val="Hipervnculo"/>
                <w:rFonts w:ascii="GalanoGrotesque-Medium" w:eastAsia="Times New Roman" w:hAnsi="GalanoGrotesque-Medium" w:cs="Arial"/>
                <w:bCs/>
                <w:noProof/>
                <w:color w:val="404040" w:themeColor="text1" w:themeTint="BF"/>
                <w:kern w:val="32"/>
                <w:lang w:val="es-ES" w:eastAsia="es-ES"/>
              </w:rPr>
              <w:t>Desarrollo Económico, Inversión y Empleo Digno</w:t>
            </w:r>
            <w:r w:rsidRPr="00AC5558">
              <w:rPr>
                <w:rFonts w:ascii="GalanoGrotesque-Medium" w:hAnsi="GalanoGrotesque-Medium"/>
                <w:noProof/>
                <w:webHidden/>
                <w:color w:val="404040" w:themeColor="text1" w:themeTint="BF"/>
              </w:rPr>
              <w:tab/>
            </w:r>
            <w:r w:rsidRPr="00AC5558">
              <w:rPr>
                <w:rFonts w:ascii="GalanoGrotesque-Medium" w:hAnsi="GalanoGrotesque-Medium"/>
                <w:noProof/>
                <w:webHidden/>
                <w:color w:val="404040" w:themeColor="text1" w:themeTint="BF"/>
              </w:rPr>
              <w:fldChar w:fldCharType="begin"/>
            </w:r>
            <w:r w:rsidRPr="00AC5558">
              <w:rPr>
                <w:rFonts w:ascii="GalanoGrotesque-Medium" w:hAnsi="GalanoGrotesque-Medium"/>
                <w:noProof/>
                <w:webHidden/>
                <w:color w:val="404040" w:themeColor="text1" w:themeTint="BF"/>
              </w:rPr>
              <w:instrText xml:space="preserve"> PAGEREF _Toc458015640 \h </w:instrText>
            </w:r>
            <w:r w:rsidRPr="00AC5558">
              <w:rPr>
                <w:rFonts w:ascii="GalanoGrotesque-Medium" w:hAnsi="GalanoGrotesque-Medium"/>
                <w:noProof/>
                <w:webHidden/>
                <w:color w:val="404040" w:themeColor="text1" w:themeTint="BF"/>
              </w:rPr>
            </w:r>
            <w:r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38</w:t>
            </w:r>
            <w:r w:rsidRPr="00AC5558">
              <w:rPr>
                <w:rFonts w:ascii="GalanoGrotesque-Medium" w:hAnsi="GalanoGrotesque-Medium"/>
                <w:noProof/>
                <w:webHidden/>
                <w:color w:val="404040" w:themeColor="text1" w:themeTint="BF"/>
              </w:rPr>
              <w:fldChar w:fldCharType="end"/>
            </w:r>
          </w:hyperlink>
        </w:p>
        <w:p w14:paraId="46D2ADBB" w14:textId="63F7B8DA" w:rsidR="00AC5558" w:rsidRPr="00AC5558" w:rsidRDefault="00AC5558">
          <w:pPr>
            <w:pStyle w:val="TDC1"/>
            <w:tabs>
              <w:tab w:val="right" w:leader="dot" w:pos="8828"/>
            </w:tabs>
            <w:rPr>
              <w:rFonts w:ascii="GalanoGrotesque-Medium" w:eastAsiaTheme="minorEastAsia" w:hAnsi="GalanoGrotesque-Medium"/>
              <w:noProof/>
              <w:color w:val="404040" w:themeColor="text1" w:themeTint="BF"/>
              <w:lang w:eastAsia="es-MX"/>
            </w:rPr>
          </w:pPr>
          <w:r w:rsidRPr="00AC5558">
            <w:rPr>
              <w:rStyle w:val="Hipervnculo"/>
              <w:rFonts w:ascii="GalanoGrotesque-Medium" w:hAnsi="GalanoGrotesque-Medium"/>
              <w:noProof/>
              <w:color w:val="404040" w:themeColor="text1" w:themeTint="BF"/>
            </w:rPr>
            <w:t xml:space="preserve">5. </w:t>
          </w:r>
          <w:hyperlink w:anchor="_Toc458015641" w:history="1">
            <w:r w:rsidRPr="00AC5558">
              <w:rPr>
                <w:rStyle w:val="Hipervnculo"/>
                <w:rFonts w:ascii="GalanoGrotesque-Medium" w:hAnsi="GalanoGrotesque-Medium" w:cs="GalanoGrotesque-Bold"/>
                <w:noProof/>
                <w:color w:val="404040" w:themeColor="text1" w:themeTint="BF"/>
              </w:rPr>
              <w:t>Cubrir las necesidades básicas y promover la inclusión y acceso de los más necesitados</w:t>
            </w:r>
            <w:r w:rsidRPr="00AC5558">
              <w:rPr>
                <w:rFonts w:ascii="GalanoGrotesque-Medium" w:hAnsi="GalanoGrotesque-Medium"/>
                <w:noProof/>
                <w:webHidden/>
                <w:color w:val="404040" w:themeColor="text1" w:themeTint="BF"/>
              </w:rPr>
              <w:tab/>
            </w:r>
            <w:r w:rsidRPr="00AC5558">
              <w:rPr>
                <w:rFonts w:ascii="GalanoGrotesque-Medium" w:hAnsi="GalanoGrotesque-Medium"/>
                <w:noProof/>
                <w:webHidden/>
                <w:color w:val="404040" w:themeColor="text1" w:themeTint="BF"/>
              </w:rPr>
              <w:fldChar w:fldCharType="begin"/>
            </w:r>
            <w:r w:rsidRPr="00AC5558">
              <w:rPr>
                <w:rFonts w:ascii="GalanoGrotesque-Medium" w:hAnsi="GalanoGrotesque-Medium"/>
                <w:noProof/>
                <w:webHidden/>
                <w:color w:val="404040" w:themeColor="text1" w:themeTint="BF"/>
              </w:rPr>
              <w:instrText xml:space="preserve"> PAGEREF _Toc458015641 \h </w:instrText>
            </w:r>
            <w:r w:rsidRPr="00AC5558">
              <w:rPr>
                <w:rFonts w:ascii="GalanoGrotesque-Medium" w:hAnsi="GalanoGrotesque-Medium"/>
                <w:noProof/>
                <w:webHidden/>
                <w:color w:val="404040" w:themeColor="text1" w:themeTint="BF"/>
              </w:rPr>
            </w:r>
            <w:r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49</w:t>
            </w:r>
            <w:r w:rsidRPr="00AC5558">
              <w:rPr>
                <w:rFonts w:ascii="GalanoGrotesque-Medium" w:hAnsi="GalanoGrotesque-Medium"/>
                <w:noProof/>
                <w:webHidden/>
                <w:color w:val="404040" w:themeColor="text1" w:themeTint="BF"/>
              </w:rPr>
              <w:fldChar w:fldCharType="end"/>
            </w:r>
          </w:hyperlink>
        </w:p>
        <w:p w14:paraId="1B5FCC55" w14:textId="317B7BC2" w:rsidR="00AC5558" w:rsidRPr="00AC5558" w:rsidRDefault="00AC5558">
          <w:pPr>
            <w:pStyle w:val="TDC1"/>
            <w:tabs>
              <w:tab w:val="right" w:leader="dot" w:pos="8828"/>
            </w:tabs>
            <w:rPr>
              <w:rFonts w:ascii="GalanoGrotesque-Medium" w:eastAsiaTheme="minorEastAsia" w:hAnsi="GalanoGrotesque-Medium"/>
              <w:noProof/>
              <w:color w:val="404040" w:themeColor="text1" w:themeTint="BF"/>
              <w:lang w:eastAsia="es-MX"/>
            </w:rPr>
          </w:pPr>
          <w:r w:rsidRPr="00AC5558">
            <w:rPr>
              <w:rStyle w:val="Hipervnculo"/>
              <w:rFonts w:ascii="GalanoGrotesque-Medium" w:hAnsi="GalanoGrotesque-Medium"/>
              <w:noProof/>
              <w:color w:val="404040" w:themeColor="text1" w:themeTint="BF"/>
            </w:rPr>
            <w:t xml:space="preserve">6. </w:t>
          </w:r>
          <w:hyperlink w:anchor="_Toc458015642" w:history="1">
            <w:r w:rsidRPr="00AC5558">
              <w:rPr>
                <w:rStyle w:val="Hipervnculo"/>
                <w:rFonts w:ascii="GalanoGrotesque-Medium" w:hAnsi="GalanoGrotesque-Medium" w:cs="GalanoGrotesque-Bold"/>
                <w:noProof/>
                <w:color w:val="404040" w:themeColor="text1" w:themeTint="BF"/>
              </w:rPr>
              <w:t>Innovación, Productividad y Competitividad</w:t>
            </w:r>
            <w:r w:rsidRPr="00AC5558">
              <w:rPr>
                <w:rFonts w:ascii="GalanoGrotesque-Medium" w:hAnsi="GalanoGrotesque-Medium"/>
                <w:noProof/>
                <w:webHidden/>
                <w:color w:val="404040" w:themeColor="text1" w:themeTint="BF"/>
              </w:rPr>
              <w:tab/>
            </w:r>
            <w:r w:rsidRPr="00AC5558">
              <w:rPr>
                <w:rFonts w:ascii="GalanoGrotesque-Medium" w:hAnsi="GalanoGrotesque-Medium"/>
                <w:noProof/>
                <w:webHidden/>
                <w:color w:val="404040" w:themeColor="text1" w:themeTint="BF"/>
              </w:rPr>
              <w:fldChar w:fldCharType="begin"/>
            </w:r>
            <w:r w:rsidRPr="00AC5558">
              <w:rPr>
                <w:rFonts w:ascii="GalanoGrotesque-Medium" w:hAnsi="GalanoGrotesque-Medium"/>
                <w:noProof/>
                <w:webHidden/>
                <w:color w:val="404040" w:themeColor="text1" w:themeTint="BF"/>
              </w:rPr>
              <w:instrText xml:space="preserve"> PAGEREF _Toc458015642 \h </w:instrText>
            </w:r>
            <w:r w:rsidRPr="00AC5558">
              <w:rPr>
                <w:rFonts w:ascii="GalanoGrotesque-Medium" w:hAnsi="GalanoGrotesque-Medium"/>
                <w:noProof/>
                <w:webHidden/>
                <w:color w:val="404040" w:themeColor="text1" w:themeTint="BF"/>
              </w:rPr>
            </w:r>
            <w:r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55</w:t>
            </w:r>
            <w:r w:rsidRPr="00AC5558">
              <w:rPr>
                <w:rFonts w:ascii="GalanoGrotesque-Medium" w:hAnsi="GalanoGrotesque-Medium"/>
                <w:noProof/>
                <w:webHidden/>
                <w:color w:val="404040" w:themeColor="text1" w:themeTint="BF"/>
              </w:rPr>
              <w:fldChar w:fldCharType="end"/>
            </w:r>
          </w:hyperlink>
        </w:p>
        <w:p w14:paraId="452E93D9" w14:textId="69477EEA" w:rsidR="00AC5558" w:rsidRPr="00AC5558" w:rsidRDefault="00AC5558">
          <w:pPr>
            <w:pStyle w:val="TDC1"/>
            <w:tabs>
              <w:tab w:val="right" w:leader="dot" w:pos="8828"/>
            </w:tabs>
            <w:rPr>
              <w:rFonts w:ascii="GalanoGrotesque-Medium" w:eastAsiaTheme="minorEastAsia" w:hAnsi="GalanoGrotesque-Medium"/>
              <w:noProof/>
              <w:color w:val="404040" w:themeColor="text1" w:themeTint="BF"/>
              <w:lang w:eastAsia="es-MX"/>
            </w:rPr>
          </w:pPr>
          <w:r w:rsidRPr="00AC5558">
            <w:rPr>
              <w:rStyle w:val="Hipervnculo"/>
              <w:rFonts w:ascii="GalanoGrotesque-Medium" w:hAnsi="GalanoGrotesque-Medium"/>
              <w:noProof/>
              <w:color w:val="404040" w:themeColor="text1" w:themeTint="BF"/>
            </w:rPr>
            <w:t xml:space="preserve">7. </w:t>
          </w:r>
          <w:hyperlink w:anchor="_Toc458015643" w:history="1">
            <w:r w:rsidRPr="00AC5558">
              <w:rPr>
                <w:rStyle w:val="Hipervnculo"/>
                <w:rFonts w:ascii="GalanoGrotesque-Medium" w:hAnsi="GalanoGrotesque-Medium" w:cs="GalanoGrotesque-Bold"/>
                <w:noProof/>
                <w:color w:val="404040" w:themeColor="text1" w:themeTint="BF"/>
              </w:rPr>
              <w:t>Sustentabilidad Ambiental, Resiliencia y Prosperidad Urbana</w:t>
            </w:r>
            <w:r w:rsidRPr="00AC5558">
              <w:rPr>
                <w:rFonts w:ascii="GalanoGrotesque-Medium" w:hAnsi="GalanoGrotesque-Medium"/>
                <w:noProof/>
                <w:webHidden/>
                <w:color w:val="404040" w:themeColor="text1" w:themeTint="BF"/>
              </w:rPr>
              <w:tab/>
            </w:r>
            <w:r w:rsidRPr="00AC5558">
              <w:rPr>
                <w:rFonts w:ascii="GalanoGrotesque-Medium" w:hAnsi="GalanoGrotesque-Medium"/>
                <w:noProof/>
                <w:webHidden/>
                <w:color w:val="404040" w:themeColor="text1" w:themeTint="BF"/>
              </w:rPr>
              <w:fldChar w:fldCharType="begin"/>
            </w:r>
            <w:r w:rsidRPr="00AC5558">
              <w:rPr>
                <w:rFonts w:ascii="GalanoGrotesque-Medium" w:hAnsi="GalanoGrotesque-Medium"/>
                <w:noProof/>
                <w:webHidden/>
                <w:color w:val="404040" w:themeColor="text1" w:themeTint="BF"/>
              </w:rPr>
              <w:instrText xml:space="preserve"> PAGEREF _Toc458015643 \h </w:instrText>
            </w:r>
            <w:r w:rsidRPr="00AC5558">
              <w:rPr>
                <w:rFonts w:ascii="GalanoGrotesque-Medium" w:hAnsi="GalanoGrotesque-Medium"/>
                <w:noProof/>
                <w:webHidden/>
                <w:color w:val="404040" w:themeColor="text1" w:themeTint="BF"/>
              </w:rPr>
            </w:r>
            <w:r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62</w:t>
            </w:r>
            <w:r w:rsidRPr="00AC5558">
              <w:rPr>
                <w:rFonts w:ascii="GalanoGrotesque-Medium" w:hAnsi="GalanoGrotesque-Medium"/>
                <w:noProof/>
                <w:webHidden/>
                <w:color w:val="404040" w:themeColor="text1" w:themeTint="BF"/>
              </w:rPr>
              <w:fldChar w:fldCharType="end"/>
            </w:r>
          </w:hyperlink>
        </w:p>
        <w:p w14:paraId="26EAC3CD" w14:textId="76DCD51C" w:rsidR="00AC5558" w:rsidRPr="00AC5558" w:rsidRDefault="00AC5558">
          <w:pPr>
            <w:pStyle w:val="TDC1"/>
            <w:tabs>
              <w:tab w:val="right" w:leader="dot" w:pos="8828"/>
            </w:tabs>
            <w:rPr>
              <w:rFonts w:ascii="GalanoGrotesque-Medium" w:eastAsiaTheme="minorEastAsia" w:hAnsi="GalanoGrotesque-Medium"/>
              <w:noProof/>
              <w:color w:val="404040" w:themeColor="text1" w:themeTint="BF"/>
              <w:lang w:eastAsia="es-MX"/>
            </w:rPr>
          </w:pPr>
          <w:r w:rsidRPr="00AC5558">
            <w:rPr>
              <w:rStyle w:val="Hipervnculo"/>
              <w:rFonts w:ascii="GalanoGrotesque-Medium" w:hAnsi="GalanoGrotesque-Medium"/>
              <w:noProof/>
              <w:color w:val="404040" w:themeColor="text1" w:themeTint="BF"/>
            </w:rPr>
            <w:t xml:space="preserve">8. </w:t>
          </w:r>
          <w:hyperlink w:anchor="_Toc458015644" w:history="1">
            <w:r w:rsidRPr="00AC5558">
              <w:rPr>
                <w:rStyle w:val="Hipervnculo"/>
                <w:rFonts w:ascii="GalanoGrotesque-Medium" w:hAnsi="GalanoGrotesque-Medium" w:cs="GalanoGrotesque-Bold"/>
                <w:noProof/>
                <w:color w:val="404040" w:themeColor="text1" w:themeTint="BF"/>
              </w:rPr>
              <w:t>Cohesión social e igualdad sustantiva</w:t>
            </w:r>
            <w:r w:rsidRPr="00AC5558">
              <w:rPr>
                <w:rFonts w:ascii="GalanoGrotesque-Medium" w:hAnsi="GalanoGrotesque-Medium"/>
                <w:noProof/>
                <w:webHidden/>
                <w:color w:val="404040" w:themeColor="text1" w:themeTint="BF"/>
              </w:rPr>
              <w:tab/>
            </w:r>
            <w:r w:rsidRPr="00AC5558">
              <w:rPr>
                <w:rFonts w:ascii="GalanoGrotesque-Medium" w:hAnsi="GalanoGrotesque-Medium"/>
                <w:noProof/>
                <w:webHidden/>
                <w:color w:val="404040" w:themeColor="text1" w:themeTint="BF"/>
              </w:rPr>
              <w:fldChar w:fldCharType="begin"/>
            </w:r>
            <w:r w:rsidRPr="00AC5558">
              <w:rPr>
                <w:rFonts w:ascii="GalanoGrotesque-Medium" w:hAnsi="GalanoGrotesque-Medium"/>
                <w:noProof/>
                <w:webHidden/>
                <w:color w:val="404040" w:themeColor="text1" w:themeTint="BF"/>
              </w:rPr>
              <w:instrText xml:space="preserve"> PAGEREF _Toc458015644 \h </w:instrText>
            </w:r>
            <w:r w:rsidRPr="00AC5558">
              <w:rPr>
                <w:rFonts w:ascii="GalanoGrotesque-Medium" w:hAnsi="GalanoGrotesque-Medium"/>
                <w:noProof/>
                <w:webHidden/>
                <w:color w:val="404040" w:themeColor="text1" w:themeTint="BF"/>
              </w:rPr>
            </w:r>
            <w:r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73</w:t>
            </w:r>
            <w:r w:rsidRPr="00AC5558">
              <w:rPr>
                <w:rFonts w:ascii="GalanoGrotesque-Medium" w:hAnsi="GalanoGrotesque-Medium"/>
                <w:noProof/>
                <w:webHidden/>
                <w:color w:val="404040" w:themeColor="text1" w:themeTint="BF"/>
              </w:rPr>
              <w:fldChar w:fldCharType="end"/>
            </w:r>
          </w:hyperlink>
        </w:p>
        <w:p w14:paraId="17664C64" w14:textId="10E887EA" w:rsidR="00AC5558" w:rsidRPr="00AC5558" w:rsidRDefault="00AC5558">
          <w:pPr>
            <w:pStyle w:val="TDC1"/>
            <w:tabs>
              <w:tab w:val="right" w:leader="dot" w:pos="8828"/>
            </w:tabs>
            <w:rPr>
              <w:rFonts w:ascii="GalanoGrotesque-Medium" w:eastAsiaTheme="minorEastAsia" w:hAnsi="GalanoGrotesque-Medium"/>
              <w:noProof/>
              <w:color w:val="404040" w:themeColor="text1" w:themeTint="BF"/>
              <w:lang w:eastAsia="es-MX"/>
            </w:rPr>
          </w:pPr>
          <w:r w:rsidRPr="00AC5558">
            <w:rPr>
              <w:rStyle w:val="Hipervnculo"/>
              <w:rFonts w:ascii="GalanoGrotesque-Medium" w:hAnsi="GalanoGrotesque-Medium"/>
              <w:noProof/>
              <w:color w:val="404040" w:themeColor="text1" w:themeTint="BF"/>
            </w:rPr>
            <w:t xml:space="preserve">9. </w:t>
          </w:r>
          <w:hyperlink w:anchor="_Toc458015645" w:history="1">
            <w:r w:rsidRPr="00AC5558">
              <w:rPr>
                <w:rStyle w:val="Hipervnculo"/>
                <w:rFonts w:ascii="GalanoGrotesque-Medium" w:hAnsi="GalanoGrotesque-Medium" w:cs="GalanoGrotesque-Bold"/>
                <w:noProof/>
                <w:color w:val="404040" w:themeColor="text1" w:themeTint="BF"/>
              </w:rPr>
              <w:t>Rendición de Cuentas, Transparencia y Gobierno Digital</w:t>
            </w:r>
            <w:r w:rsidRPr="00AC5558">
              <w:rPr>
                <w:rFonts w:ascii="GalanoGrotesque-Medium" w:hAnsi="GalanoGrotesque-Medium"/>
                <w:noProof/>
                <w:webHidden/>
                <w:color w:val="404040" w:themeColor="text1" w:themeTint="BF"/>
              </w:rPr>
              <w:tab/>
            </w:r>
            <w:r w:rsidRPr="00AC5558">
              <w:rPr>
                <w:rFonts w:ascii="GalanoGrotesque-Medium" w:hAnsi="GalanoGrotesque-Medium"/>
                <w:noProof/>
                <w:webHidden/>
                <w:color w:val="404040" w:themeColor="text1" w:themeTint="BF"/>
              </w:rPr>
              <w:fldChar w:fldCharType="begin"/>
            </w:r>
            <w:r w:rsidRPr="00AC5558">
              <w:rPr>
                <w:rFonts w:ascii="GalanoGrotesque-Medium" w:hAnsi="GalanoGrotesque-Medium"/>
                <w:noProof/>
                <w:webHidden/>
                <w:color w:val="404040" w:themeColor="text1" w:themeTint="BF"/>
              </w:rPr>
              <w:instrText xml:space="preserve"> PAGEREF _Toc458015645 \h </w:instrText>
            </w:r>
            <w:r w:rsidRPr="00AC5558">
              <w:rPr>
                <w:rFonts w:ascii="GalanoGrotesque-Medium" w:hAnsi="GalanoGrotesque-Medium"/>
                <w:noProof/>
                <w:webHidden/>
                <w:color w:val="404040" w:themeColor="text1" w:themeTint="BF"/>
              </w:rPr>
            </w:r>
            <w:r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81</w:t>
            </w:r>
            <w:r w:rsidRPr="00AC5558">
              <w:rPr>
                <w:rFonts w:ascii="GalanoGrotesque-Medium" w:hAnsi="GalanoGrotesque-Medium"/>
                <w:noProof/>
                <w:webHidden/>
                <w:color w:val="404040" w:themeColor="text1" w:themeTint="BF"/>
              </w:rPr>
              <w:fldChar w:fldCharType="end"/>
            </w:r>
          </w:hyperlink>
        </w:p>
        <w:p w14:paraId="4A8D65A7" w14:textId="77777777" w:rsidR="00AC5558" w:rsidRDefault="00082EBA">
          <w:pPr>
            <w:pStyle w:val="TDC1"/>
            <w:tabs>
              <w:tab w:val="right" w:leader="dot" w:pos="8828"/>
            </w:tabs>
            <w:rPr>
              <w:rFonts w:eastAsiaTheme="minorEastAsia"/>
              <w:noProof/>
              <w:lang w:eastAsia="es-MX"/>
            </w:rPr>
          </w:pPr>
          <w:hyperlink w:anchor="_Toc458015646" w:history="1">
            <w:r w:rsidR="00AC5558" w:rsidRPr="00AC5558">
              <w:rPr>
                <w:rStyle w:val="Hipervnculo"/>
                <w:rFonts w:ascii="GalanoGrotesque-Medium" w:eastAsia="Times New Roman" w:hAnsi="GalanoGrotesque-Medium" w:cs="Arial"/>
                <w:bCs/>
                <w:noProof/>
                <w:color w:val="404040" w:themeColor="text1" w:themeTint="BF"/>
                <w:kern w:val="32"/>
                <w:lang w:val="es-ES" w:eastAsia="es-ES"/>
              </w:rPr>
              <w:t>Evaluación, monitoreo y seguimiento.</w:t>
            </w:r>
            <w:r w:rsidR="00AC5558" w:rsidRPr="00AC5558">
              <w:rPr>
                <w:rFonts w:ascii="GalanoGrotesque-Medium" w:hAnsi="GalanoGrotesque-Medium"/>
                <w:noProof/>
                <w:webHidden/>
                <w:color w:val="404040" w:themeColor="text1" w:themeTint="BF"/>
              </w:rPr>
              <w:tab/>
            </w:r>
            <w:r w:rsidR="00AC5558" w:rsidRPr="00AC5558">
              <w:rPr>
                <w:rFonts w:ascii="GalanoGrotesque-Medium" w:hAnsi="GalanoGrotesque-Medium"/>
                <w:noProof/>
                <w:webHidden/>
                <w:color w:val="404040" w:themeColor="text1" w:themeTint="BF"/>
              </w:rPr>
              <w:fldChar w:fldCharType="begin"/>
            </w:r>
            <w:r w:rsidR="00AC5558" w:rsidRPr="00AC5558">
              <w:rPr>
                <w:rFonts w:ascii="GalanoGrotesque-Medium" w:hAnsi="GalanoGrotesque-Medium"/>
                <w:noProof/>
                <w:webHidden/>
                <w:color w:val="404040" w:themeColor="text1" w:themeTint="BF"/>
              </w:rPr>
              <w:instrText xml:space="preserve"> PAGEREF _Toc458015646 \h </w:instrText>
            </w:r>
            <w:r w:rsidR="00AC5558" w:rsidRPr="00AC5558">
              <w:rPr>
                <w:rFonts w:ascii="GalanoGrotesque-Medium" w:hAnsi="GalanoGrotesque-Medium"/>
                <w:noProof/>
                <w:webHidden/>
                <w:color w:val="404040" w:themeColor="text1" w:themeTint="BF"/>
              </w:rPr>
            </w:r>
            <w:r w:rsidR="00AC5558" w:rsidRPr="00AC5558">
              <w:rPr>
                <w:rFonts w:ascii="GalanoGrotesque-Medium" w:hAnsi="GalanoGrotesque-Medium"/>
                <w:noProof/>
                <w:webHidden/>
                <w:color w:val="404040" w:themeColor="text1" w:themeTint="BF"/>
              </w:rPr>
              <w:fldChar w:fldCharType="separate"/>
            </w:r>
            <w:r w:rsidR="002E182E">
              <w:rPr>
                <w:rFonts w:ascii="GalanoGrotesque-Medium" w:hAnsi="GalanoGrotesque-Medium"/>
                <w:noProof/>
                <w:webHidden/>
                <w:color w:val="404040" w:themeColor="text1" w:themeTint="BF"/>
              </w:rPr>
              <w:t>92</w:t>
            </w:r>
            <w:r w:rsidR="00AC5558" w:rsidRPr="00AC5558">
              <w:rPr>
                <w:rFonts w:ascii="GalanoGrotesque-Medium" w:hAnsi="GalanoGrotesque-Medium"/>
                <w:noProof/>
                <w:webHidden/>
                <w:color w:val="404040" w:themeColor="text1" w:themeTint="BF"/>
              </w:rPr>
              <w:fldChar w:fldCharType="end"/>
            </w:r>
          </w:hyperlink>
        </w:p>
        <w:p w14:paraId="106BA09C" w14:textId="0694531E" w:rsidR="00F70ABD" w:rsidRDefault="00F70ABD">
          <w:r>
            <w:rPr>
              <w:b/>
              <w:bCs/>
              <w:lang w:val="es-ES"/>
            </w:rPr>
            <w:fldChar w:fldCharType="end"/>
          </w:r>
        </w:p>
      </w:sdtContent>
    </w:sdt>
    <w:p w14:paraId="13F099B1" w14:textId="77777777" w:rsidR="00F70ABD" w:rsidRDefault="00F70ABD" w:rsidP="00EA16FA">
      <w:pPr>
        <w:spacing w:after="0"/>
        <w:rPr>
          <w:rFonts w:ascii="GalanoGrotesque-Medium" w:hAnsi="GalanoGrotesque-Medium"/>
          <w:color w:val="595959" w:themeColor="text1" w:themeTint="A6"/>
          <w:sz w:val="16"/>
        </w:rPr>
      </w:pPr>
    </w:p>
    <w:p w14:paraId="36D8ECDE" w14:textId="77777777" w:rsidR="003746EA" w:rsidRDefault="003746EA" w:rsidP="007F46F2">
      <w:pPr>
        <w:spacing w:after="0"/>
        <w:rPr>
          <w:rFonts w:ascii="GalanoGrotesque-Medium" w:hAnsi="GalanoGrotesque-Medium"/>
          <w:color w:val="595959" w:themeColor="text1" w:themeTint="A6"/>
          <w:sz w:val="16"/>
        </w:rPr>
        <w:sectPr w:rsidR="003746EA" w:rsidSect="00EA16FA">
          <w:footnotePr>
            <w:numStart w:val="4"/>
          </w:footnotePr>
          <w:pgSz w:w="12240" w:h="15840"/>
          <w:pgMar w:top="1417" w:right="1701" w:bottom="1417" w:left="1701" w:header="708" w:footer="708" w:gutter="0"/>
          <w:cols w:space="708"/>
          <w:docGrid w:linePitch="360"/>
        </w:sectPr>
      </w:pPr>
    </w:p>
    <w:p w14:paraId="3B03E0EF" w14:textId="77777777" w:rsidR="007F46F2" w:rsidRPr="00204156" w:rsidRDefault="00D46751" w:rsidP="00DC2E59">
      <w:pPr>
        <w:pStyle w:val="Ttulo1"/>
        <w:spacing w:after="0"/>
        <w:rPr>
          <w:rFonts w:ascii="GalanoGrotesque-Black" w:hAnsi="GalanoGrotesque-Black"/>
          <w:color w:val="B50A5C"/>
          <w:sz w:val="44"/>
          <w:szCs w:val="44"/>
        </w:rPr>
      </w:pPr>
      <w:bookmarkStart w:id="0" w:name="_Toc458015629"/>
      <w:r w:rsidRPr="00204156">
        <w:rPr>
          <w:rFonts w:ascii="Candara" w:hAnsi="Candara"/>
          <w:noProof/>
          <w:color w:val="B50A5C"/>
          <w:sz w:val="20"/>
          <w:szCs w:val="20"/>
        </w:rPr>
        <w:lastRenderedPageBreak/>
        <w:drawing>
          <wp:anchor distT="0" distB="0" distL="114300" distR="114300" simplePos="0" relativeHeight="251761152" behindDoc="0" locked="0" layoutInCell="1" allowOverlap="1" wp14:anchorId="18B13622" wp14:editId="5FA2D24F">
            <wp:simplePos x="0" y="0"/>
            <wp:positionH relativeFrom="page">
              <wp:posOffset>91771</wp:posOffset>
            </wp:positionH>
            <wp:positionV relativeFrom="paragraph">
              <wp:posOffset>-868045</wp:posOffset>
            </wp:positionV>
            <wp:extent cx="176647" cy="9932276"/>
            <wp:effectExtent l="0" t="0" r="0" b="0"/>
            <wp:wrapNone/>
            <wp:docPr id="75806" name="Imagen 75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6" name="Pleca lateral izq.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647" cy="9932276"/>
                    </a:xfrm>
                    <a:prstGeom prst="rect">
                      <a:avLst/>
                    </a:prstGeom>
                  </pic:spPr>
                </pic:pic>
              </a:graphicData>
            </a:graphic>
            <wp14:sizeRelH relativeFrom="page">
              <wp14:pctWidth>0</wp14:pctWidth>
            </wp14:sizeRelH>
            <wp14:sizeRelV relativeFrom="page">
              <wp14:pctHeight>0</wp14:pctHeight>
            </wp14:sizeRelV>
          </wp:anchor>
        </w:drawing>
      </w:r>
      <w:r w:rsidR="007F46F2" w:rsidRPr="00204156">
        <w:rPr>
          <w:rFonts w:ascii="GalanoGrotesque-Black" w:hAnsi="GalanoGrotesque-Black"/>
          <w:b w:val="0"/>
          <w:color w:val="B50A5C"/>
          <w:sz w:val="44"/>
          <w:szCs w:val="44"/>
        </w:rPr>
        <w:t>Mensaje del C. Gobernador</w:t>
      </w:r>
      <w:bookmarkEnd w:id="0"/>
    </w:p>
    <w:p w14:paraId="1ED8F3F6" w14:textId="77777777" w:rsidR="00B61742" w:rsidRDefault="00B61742" w:rsidP="00DC2E59">
      <w:pPr>
        <w:tabs>
          <w:tab w:val="left" w:pos="2145"/>
        </w:tabs>
        <w:spacing w:after="0" w:line="240" w:lineRule="atLeast"/>
        <w:rPr>
          <w:rFonts w:ascii="GalanoGrotesque-Black" w:hAnsi="GalanoGrotesque-Black"/>
          <w:color w:val="691950"/>
          <w:sz w:val="32"/>
        </w:rPr>
        <w:sectPr w:rsidR="00B61742" w:rsidSect="00204156">
          <w:headerReference w:type="default" r:id="rId12"/>
          <w:footnotePr>
            <w:numStart w:val="4"/>
          </w:footnotePr>
          <w:pgSz w:w="12240" w:h="15840" w:code="1"/>
          <w:pgMar w:top="1418" w:right="1134" w:bottom="1134" w:left="1134" w:header="851" w:footer="709" w:gutter="0"/>
          <w:pgNumType w:start="1"/>
          <w:cols w:space="708"/>
          <w:docGrid w:linePitch="360"/>
        </w:sectPr>
      </w:pPr>
    </w:p>
    <w:p w14:paraId="0413F49F" w14:textId="77777777" w:rsidR="00B110F5" w:rsidRPr="00EB105A" w:rsidRDefault="00F7158C" w:rsidP="00DC2E59">
      <w:pPr>
        <w:spacing w:after="0" w:line="240" w:lineRule="auto"/>
        <w:rPr>
          <w:rFonts w:ascii="GalanoGrotesque-Medium" w:eastAsia="Times New Roman" w:hAnsi="GalanoGrotesque-Medium" w:cs="Times New Roman"/>
          <w:b/>
          <w:sz w:val="20"/>
          <w:szCs w:val="20"/>
          <w:lang w:val="es-ES" w:eastAsia="es-ES"/>
        </w:rPr>
        <w:sectPr w:rsidR="00B110F5" w:rsidRPr="00EB105A" w:rsidSect="00B110F5">
          <w:headerReference w:type="default" r:id="rId13"/>
          <w:footerReference w:type="default" r:id="rId14"/>
          <w:footnotePr>
            <w:numStart w:val="4"/>
          </w:footnotePr>
          <w:type w:val="continuous"/>
          <w:pgSz w:w="12240" w:h="15840" w:code="1"/>
          <w:pgMar w:top="1560" w:right="1134" w:bottom="1276" w:left="1134" w:header="142" w:footer="709" w:gutter="0"/>
          <w:pgNumType w:start="1"/>
          <w:cols w:space="708"/>
          <w:docGrid w:linePitch="360"/>
        </w:sectPr>
      </w:pPr>
      <w:r>
        <w:rPr>
          <w:rFonts w:ascii="Candara" w:eastAsia="Times New Roman" w:hAnsi="Candara" w:cs="Arial"/>
          <w:noProof/>
          <w:sz w:val="20"/>
          <w:szCs w:val="20"/>
          <w:shd w:val="clear" w:color="auto" w:fill="FFFFFF"/>
          <w:lang w:val="es-ES" w:eastAsia="es-ES"/>
        </w:rPr>
        <w:lastRenderedPageBreak/>
        <w:drawing>
          <wp:anchor distT="0" distB="0" distL="114300" distR="114300" simplePos="0" relativeHeight="251772416" behindDoc="0" locked="0" layoutInCell="1" allowOverlap="1" wp14:anchorId="1B4767D5" wp14:editId="1D67067C">
            <wp:simplePos x="0" y="0"/>
            <wp:positionH relativeFrom="margin">
              <wp:posOffset>-99695</wp:posOffset>
            </wp:positionH>
            <wp:positionV relativeFrom="paragraph">
              <wp:posOffset>230974</wp:posOffset>
            </wp:positionV>
            <wp:extent cx="936792" cy="433346"/>
            <wp:effectExtent l="0" t="0" r="0" b="50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neta.png"/>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36792" cy="433346"/>
                    </a:xfrm>
                    <a:prstGeom prst="rect">
                      <a:avLst/>
                    </a:prstGeom>
                  </pic:spPr>
                </pic:pic>
              </a:graphicData>
            </a:graphic>
            <wp14:sizeRelH relativeFrom="page">
              <wp14:pctWidth>0</wp14:pctWidth>
            </wp14:sizeRelH>
            <wp14:sizeRelV relativeFrom="page">
              <wp14:pctHeight>0</wp14:pctHeight>
            </wp14:sizeRelV>
          </wp:anchor>
        </w:drawing>
      </w:r>
      <w:r w:rsidR="0037149A" w:rsidRPr="00EB105A">
        <w:rPr>
          <w:rFonts w:ascii="GalanoGrotesque-Regular" w:eastAsia="Times New Roman" w:hAnsi="GalanoGrotesque-Regular" w:cs="Arial"/>
          <w:noProof/>
          <w:sz w:val="20"/>
          <w:szCs w:val="20"/>
          <w:lang w:val="es-ES" w:eastAsia="es-ES"/>
        </w:rPr>
        <w:drawing>
          <wp:anchor distT="0" distB="0" distL="114300" distR="114300" simplePos="0" relativeHeight="251698688" behindDoc="0" locked="0" layoutInCell="1" allowOverlap="1" wp14:anchorId="14708E0E" wp14:editId="3D065BBE">
            <wp:simplePos x="0" y="0"/>
            <wp:positionH relativeFrom="margin">
              <wp:posOffset>3810</wp:posOffset>
            </wp:positionH>
            <wp:positionV relativeFrom="paragraph">
              <wp:posOffset>229870</wp:posOffset>
            </wp:positionV>
            <wp:extent cx="2980055" cy="320865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980055" cy="3208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C9C197C" w14:textId="77777777" w:rsidR="00B34E14" w:rsidRPr="00EB105A" w:rsidRDefault="00B34E14" w:rsidP="00B110F5">
      <w:pPr>
        <w:spacing w:after="0" w:line="240" w:lineRule="atLeast"/>
        <w:jc w:val="both"/>
        <w:rPr>
          <w:rFonts w:ascii="Candara" w:eastAsia="Times New Roman" w:hAnsi="Candara" w:cs="Arial"/>
          <w:sz w:val="20"/>
          <w:szCs w:val="20"/>
          <w:lang w:val="es-ES" w:eastAsia="es-ES"/>
        </w:rPr>
      </w:pPr>
    </w:p>
    <w:p w14:paraId="5B8A537B" w14:textId="77777777" w:rsidR="00B110F5" w:rsidRPr="00EB105A" w:rsidRDefault="00B110F5" w:rsidP="00831758">
      <w:pPr>
        <w:spacing w:after="0" w:line="240" w:lineRule="auto"/>
        <w:jc w:val="both"/>
        <w:rPr>
          <w:rFonts w:ascii="Candara" w:eastAsia="Times New Roman" w:hAnsi="Candara" w:cs="Arial"/>
          <w:sz w:val="20"/>
          <w:szCs w:val="20"/>
          <w:lang w:val="es-ES" w:eastAsia="es-ES"/>
        </w:rPr>
      </w:pPr>
      <w:r w:rsidRPr="00EB105A">
        <w:rPr>
          <w:rFonts w:ascii="Candara" w:eastAsia="Times New Roman" w:hAnsi="Candara" w:cs="Arial"/>
          <w:sz w:val="20"/>
          <w:szCs w:val="20"/>
          <w:lang w:val="es-ES" w:eastAsia="es-ES"/>
        </w:rPr>
        <w:t>Michoacán es pilar de la historia nacional, aquí se conjuró la Independencia, se consolidaron los poderes del estado de nuestra naciente República y se idearon las reformas que dieron vida al México contemporáneo.</w:t>
      </w:r>
    </w:p>
    <w:p w14:paraId="64B180AE" w14:textId="77777777" w:rsidR="001C57BA" w:rsidRPr="00D46751" w:rsidRDefault="001C57BA" w:rsidP="00831758">
      <w:pPr>
        <w:spacing w:after="0" w:line="240" w:lineRule="auto"/>
        <w:jc w:val="both"/>
        <w:rPr>
          <w:rFonts w:ascii="Candara" w:eastAsia="Times New Roman" w:hAnsi="Candara" w:cs="Arial"/>
          <w:sz w:val="16"/>
          <w:szCs w:val="20"/>
          <w:lang w:val="es-ES" w:eastAsia="es-ES"/>
        </w:rPr>
      </w:pPr>
    </w:p>
    <w:p w14:paraId="08A27BBD" w14:textId="77777777" w:rsidR="00B110F5" w:rsidRPr="00EB105A" w:rsidRDefault="00B110F5" w:rsidP="00831758">
      <w:pPr>
        <w:spacing w:after="0" w:line="240" w:lineRule="auto"/>
        <w:jc w:val="both"/>
        <w:rPr>
          <w:rFonts w:ascii="Candara" w:eastAsia="Times New Roman" w:hAnsi="Candara" w:cs="Arial"/>
          <w:sz w:val="20"/>
          <w:szCs w:val="20"/>
          <w:lang w:val="es-ES" w:eastAsia="es-ES"/>
        </w:rPr>
      </w:pPr>
      <w:r w:rsidRPr="00EB105A">
        <w:rPr>
          <w:rFonts w:ascii="Candara" w:eastAsia="Times New Roman" w:hAnsi="Candara" w:cs="Arial"/>
          <w:sz w:val="20"/>
          <w:szCs w:val="20"/>
          <w:lang w:val="es-ES" w:eastAsia="es-ES"/>
        </w:rPr>
        <w:t>Es un estado de riqueza incalculable, con ventajas comparativas y competitivas en diversas áreas además de grandes potencialidades. Resulta inadmisible que a pesar de estas ventajas, existan grandes desigualdades y carencias sociales derivadas de altos índices de pobreza y marginación.</w:t>
      </w:r>
    </w:p>
    <w:p w14:paraId="5C71C40C" w14:textId="77777777" w:rsidR="00B110F5" w:rsidRPr="00D46751" w:rsidRDefault="00B110F5" w:rsidP="00831758">
      <w:pPr>
        <w:spacing w:after="0" w:line="240" w:lineRule="auto"/>
        <w:jc w:val="both"/>
        <w:rPr>
          <w:rFonts w:ascii="Candara" w:eastAsia="Times New Roman" w:hAnsi="Candara" w:cs="Arial"/>
          <w:sz w:val="16"/>
          <w:szCs w:val="20"/>
          <w:lang w:val="es-ES" w:eastAsia="es-ES"/>
        </w:rPr>
      </w:pPr>
    </w:p>
    <w:p w14:paraId="137AD7A7" w14:textId="77777777" w:rsidR="00B110F5" w:rsidRPr="00EB105A" w:rsidRDefault="00B110F5" w:rsidP="00831758">
      <w:pPr>
        <w:spacing w:after="0" w:line="240" w:lineRule="auto"/>
        <w:jc w:val="both"/>
        <w:rPr>
          <w:rFonts w:ascii="Candara" w:eastAsia="Times New Roman" w:hAnsi="Candara" w:cs="Arial"/>
          <w:sz w:val="20"/>
          <w:szCs w:val="20"/>
          <w:lang w:val="es-ES" w:eastAsia="es-ES"/>
        </w:rPr>
      </w:pPr>
      <w:r w:rsidRPr="00EB105A">
        <w:rPr>
          <w:rFonts w:ascii="Candara" w:eastAsia="Times New Roman" w:hAnsi="Candara" w:cs="Arial"/>
          <w:sz w:val="20"/>
          <w:szCs w:val="20"/>
          <w:lang w:val="es-ES" w:eastAsia="es-ES"/>
        </w:rPr>
        <w:t>Para transformar esta situación no se puede improvisar, es imperativo planificar. Se requiere un proyecto de estado con visión estratégica, incluyente y de largo alcance, que permita consolidar las bases para edificar un mejor futuro para Michoacán.</w:t>
      </w:r>
    </w:p>
    <w:p w14:paraId="6AAFEC98" w14:textId="77777777" w:rsidR="00B110F5" w:rsidRPr="00D46751" w:rsidRDefault="00B110F5" w:rsidP="00831758">
      <w:pPr>
        <w:spacing w:after="0" w:line="240" w:lineRule="auto"/>
        <w:jc w:val="both"/>
        <w:rPr>
          <w:rFonts w:ascii="Candara" w:eastAsia="Times New Roman" w:hAnsi="Candara" w:cs="Arial"/>
          <w:sz w:val="16"/>
          <w:szCs w:val="20"/>
          <w:lang w:val="es-ES" w:eastAsia="es-ES"/>
        </w:rPr>
      </w:pPr>
    </w:p>
    <w:p w14:paraId="7A1475A2" w14:textId="77777777" w:rsidR="00B34E14" w:rsidRDefault="00B110F5" w:rsidP="00831758">
      <w:pPr>
        <w:spacing w:after="0" w:line="240" w:lineRule="auto"/>
        <w:jc w:val="both"/>
        <w:rPr>
          <w:rFonts w:ascii="Candara" w:eastAsia="Times New Roman" w:hAnsi="Candara" w:cs="Arial"/>
          <w:sz w:val="20"/>
          <w:szCs w:val="20"/>
          <w:shd w:val="clear" w:color="auto" w:fill="FFFFFF"/>
          <w:lang w:val="es-ES" w:eastAsia="es-ES"/>
        </w:rPr>
      </w:pPr>
      <w:r w:rsidRPr="007B4312">
        <w:rPr>
          <w:rFonts w:ascii="Candara" w:eastAsia="Times New Roman" w:hAnsi="Candara" w:cs="Arial"/>
          <w:sz w:val="20"/>
          <w:szCs w:val="20"/>
          <w:lang w:val="es-ES" w:eastAsia="es-ES"/>
        </w:rPr>
        <w:t xml:space="preserve">La </w:t>
      </w:r>
      <w:r w:rsidRPr="00EB105A">
        <w:rPr>
          <w:rFonts w:ascii="Candara" w:eastAsia="Times New Roman" w:hAnsi="Candara" w:cs="Arial"/>
          <w:sz w:val="20"/>
          <w:szCs w:val="20"/>
          <w:lang w:val="es-ES" w:eastAsia="es-ES"/>
        </w:rPr>
        <w:t xml:space="preserve">planeación estratégica es un proceso sistemático de desarrollo e implementación de planes para alcanzar propósitos y objetivos, que </w:t>
      </w:r>
      <w:r w:rsidRPr="00EB105A">
        <w:rPr>
          <w:rFonts w:ascii="Candara" w:eastAsia="Times New Roman" w:hAnsi="Candara" w:cs="Arial"/>
          <w:sz w:val="20"/>
          <w:szCs w:val="20"/>
          <w:shd w:val="clear" w:color="auto" w:fill="FFFFFF"/>
          <w:lang w:val="es-ES" w:eastAsia="es-ES"/>
        </w:rPr>
        <w:t xml:space="preserve">resume el rumbo y la directriz a seguir, teniendo como objetivo final mejorar la calidad de vida de los michoacanos. </w:t>
      </w:r>
    </w:p>
    <w:p w14:paraId="7DF1AFB3" w14:textId="77777777" w:rsidR="00EB105A" w:rsidRDefault="00EB105A" w:rsidP="00831758">
      <w:pPr>
        <w:spacing w:after="0" w:line="240" w:lineRule="auto"/>
        <w:jc w:val="both"/>
        <w:rPr>
          <w:rFonts w:ascii="Candara" w:eastAsia="Times New Roman" w:hAnsi="Candara" w:cs="Arial"/>
          <w:sz w:val="20"/>
          <w:szCs w:val="20"/>
          <w:shd w:val="clear" w:color="auto" w:fill="FFFFFF"/>
          <w:lang w:val="es-ES" w:eastAsia="es-ES"/>
        </w:rPr>
      </w:pPr>
    </w:p>
    <w:p w14:paraId="3BEE5CF0" w14:textId="77777777" w:rsidR="00EB105A" w:rsidRDefault="00EB105A" w:rsidP="00831758">
      <w:pPr>
        <w:spacing w:after="0" w:line="240" w:lineRule="auto"/>
        <w:jc w:val="both"/>
        <w:rPr>
          <w:rFonts w:ascii="Candara" w:eastAsia="Times New Roman" w:hAnsi="Candara" w:cs="Arial"/>
          <w:sz w:val="20"/>
          <w:szCs w:val="20"/>
          <w:shd w:val="clear" w:color="auto" w:fill="FFFFFF"/>
          <w:lang w:val="es-ES" w:eastAsia="es-ES"/>
        </w:rPr>
      </w:pPr>
    </w:p>
    <w:p w14:paraId="42704738" w14:textId="77777777" w:rsidR="00EB105A" w:rsidRDefault="00EB105A" w:rsidP="00831758">
      <w:pPr>
        <w:spacing w:after="0" w:line="240" w:lineRule="auto"/>
        <w:jc w:val="both"/>
        <w:rPr>
          <w:rFonts w:ascii="Candara" w:eastAsia="Times New Roman" w:hAnsi="Candara" w:cs="Arial"/>
          <w:sz w:val="20"/>
          <w:szCs w:val="20"/>
          <w:shd w:val="clear" w:color="auto" w:fill="FFFFFF"/>
          <w:lang w:val="es-ES" w:eastAsia="es-ES"/>
        </w:rPr>
      </w:pPr>
    </w:p>
    <w:p w14:paraId="6868F5A0" w14:textId="77777777" w:rsidR="00EB105A" w:rsidRDefault="00EB105A" w:rsidP="00831758">
      <w:pPr>
        <w:spacing w:after="0" w:line="240" w:lineRule="auto"/>
        <w:jc w:val="both"/>
        <w:rPr>
          <w:rFonts w:ascii="Candara" w:eastAsia="Times New Roman" w:hAnsi="Candara" w:cs="Arial"/>
          <w:sz w:val="20"/>
          <w:szCs w:val="20"/>
          <w:shd w:val="clear" w:color="auto" w:fill="FFFFFF"/>
          <w:lang w:val="es-ES" w:eastAsia="es-ES"/>
        </w:rPr>
      </w:pPr>
    </w:p>
    <w:p w14:paraId="335B8050" w14:textId="77777777" w:rsidR="00B110F5" w:rsidRDefault="00B110F5" w:rsidP="00831758">
      <w:pPr>
        <w:spacing w:after="0" w:line="240" w:lineRule="auto"/>
        <w:jc w:val="both"/>
        <w:rPr>
          <w:rFonts w:ascii="Candara" w:eastAsia="Times New Roman" w:hAnsi="Candara" w:cs="Arial"/>
          <w:sz w:val="20"/>
          <w:szCs w:val="20"/>
          <w:shd w:val="clear" w:color="auto" w:fill="FFFFFF"/>
          <w:lang w:val="es-ES" w:eastAsia="es-ES"/>
        </w:rPr>
      </w:pPr>
      <w:r w:rsidRPr="00EB105A">
        <w:rPr>
          <w:rFonts w:ascii="Candara" w:eastAsia="Times New Roman" w:hAnsi="Candara" w:cs="Arial"/>
          <w:sz w:val="20"/>
          <w:szCs w:val="20"/>
          <w:shd w:val="clear" w:color="auto" w:fill="FFFFFF"/>
          <w:lang w:val="es-ES" w:eastAsia="es-ES"/>
        </w:rPr>
        <w:lastRenderedPageBreak/>
        <w:t xml:space="preserve">Por ello, en el Plan para el Desarrollo Integral del Estado de Michoacán 2015 - 2021, quedan establecidos objetivos, estrategias y acciones que realizaremos para transformar a Michoacán en un estado en progreso constante. </w:t>
      </w:r>
    </w:p>
    <w:p w14:paraId="58565C98" w14:textId="77777777" w:rsidR="00EB105A" w:rsidRPr="00D46751" w:rsidRDefault="00EB105A" w:rsidP="00831758">
      <w:pPr>
        <w:spacing w:after="0" w:line="240" w:lineRule="auto"/>
        <w:jc w:val="both"/>
        <w:rPr>
          <w:rFonts w:ascii="Candara" w:eastAsia="Times New Roman" w:hAnsi="Candara" w:cs="Arial"/>
          <w:sz w:val="16"/>
          <w:szCs w:val="20"/>
          <w:shd w:val="clear" w:color="auto" w:fill="FFFFFF"/>
          <w:lang w:val="es-ES" w:eastAsia="es-ES"/>
        </w:rPr>
      </w:pPr>
    </w:p>
    <w:p w14:paraId="042B23C4" w14:textId="77777777" w:rsidR="00B110F5" w:rsidRPr="00EB105A" w:rsidRDefault="00B110F5" w:rsidP="00831758">
      <w:pPr>
        <w:tabs>
          <w:tab w:val="left" w:pos="1275"/>
        </w:tabs>
        <w:spacing w:after="0" w:line="240" w:lineRule="auto"/>
        <w:contextualSpacing/>
        <w:jc w:val="both"/>
        <w:rPr>
          <w:rFonts w:ascii="Candara" w:eastAsia="Times New Roman" w:hAnsi="Candara" w:cs="Arial"/>
          <w:sz w:val="20"/>
          <w:szCs w:val="20"/>
          <w:shd w:val="clear" w:color="auto" w:fill="FFFFFF"/>
          <w:lang w:val="es-ES" w:eastAsia="es-ES"/>
        </w:rPr>
      </w:pPr>
      <w:r w:rsidRPr="00EB105A">
        <w:rPr>
          <w:rFonts w:ascii="Candara" w:eastAsia="Times New Roman" w:hAnsi="Candara" w:cs="Arial"/>
          <w:sz w:val="20"/>
          <w:szCs w:val="20"/>
          <w:shd w:val="clear" w:color="auto" w:fill="FFFFFF"/>
          <w:lang w:val="es-ES" w:eastAsia="es-ES"/>
        </w:rPr>
        <w:t>Sólo a través de una amplia participación social se puede definir hacia dónde queremos llevar a Michoacán, cómo lo haremos y en cuánto tiempo, por lo que la integración del PLADIEM es producto de un ejercicio democrático de consulta.</w:t>
      </w:r>
    </w:p>
    <w:p w14:paraId="0607C2F0" w14:textId="77777777" w:rsidR="00B110F5" w:rsidRPr="00D46751" w:rsidRDefault="00B110F5" w:rsidP="00831758">
      <w:pPr>
        <w:tabs>
          <w:tab w:val="left" w:pos="1275"/>
        </w:tabs>
        <w:spacing w:after="0" w:line="240" w:lineRule="auto"/>
        <w:contextualSpacing/>
        <w:jc w:val="both"/>
        <w:rPr>
          <w:rFonts w:ascii="Candara" w:eastAsia="Times New Roman" w:hAnsi="Candara" w:cs="Arial"/>
          <w:sz w:val="16"/>
          <w:szCs w:val="20"/>
          <w:shd w:val="clear" w:color="auto" w:fill="FFFFFF"/>
          <w:lang w:val="es-ES" w:eastAsia="es-ES"/>
        </w:rPr>
      </w:pPr>
    </w:p>
    <w:p w14:paraId="72CE3585" w14:textId="77777777" w:rsidR="00B110F5" w:rsidRPr="00EB105A" w:rsidRDefault="00B110F5" w:rsidP="00831758">
      <w:pPr>
        <w:tabs>
          <w:tab w:val="left" w:pos="1275"/>
        </w:tabs>
        <w:spacing w:after="0" w:line="240" w:lineRule="auto"/>
        <w:contextualSpacing/>
        <w:jc w:val="both"/>
        <w:rPr>
          <w:rFonts w:ascii="Candara" w:eastAsia="Times New Roman" w:hAnsi="Candara" w:cs="Arial"/>
          <w:sz w:val="20"/>
          <w:szCs w:val="20"/>
          <w:shd w:val="clear" w:color="auto" w:fill="FFFFFF"/>
          <w:lang w:val="es-ES" w:eastAsia="es-ES"/>
        </w:rPr>
      </w:pPr>
      <w:r w:rsidRPr="00EB105A">
        <w:rPr>
          <w:rFonts w:ascii="Candara" w:eastAsia="Times New Roman" w:hAnsi="Candara" w:cs="Arial"/>
          <w:sz w:val="20"/>
          <w:szCs w:val="20"/>
          <w:shd w:val="clear" w:color="auto" w:fill="FFFFFF"/>
          <w:lang w:val="es-ES" w:eastAsia="es-ES"/>
        </w:rPr>
        <w:t>En los Foros Regionales de Consulta, se recogieron las aportaciones de todos los sectores y grupos, de la gente del campo, de la ciudad, del sector empresarial, del académico, del social, nadie ha quedado al margen de este esfuerzo, incluso los michoacanos radicados en los Estados Unidos hicieron sus planteamientos.</w:t>
      </w:r>
    </w:p>
    <w:p w14:paraId="6BE82254" w14:textId="77777777" w:rsidR="00B110F5" w:rsidRPr="00D46751" w:rsidRDefault="00B110F5" w:rsidP="00831758">
      <w:pPr>
        <w:tabs>
          <w:tab w:val="left" w:pos="1275"/>
        </w:tabs>
        <w:spacing w:after="0" w:line="240" w:lineRule="auto"/>
        <w:contextualSpacing/>
        <w:jc w:val="both"/>
        <w:rPr>
          <w:rFonts w:ascii="Candara" w:eastAsia="Times New Roman" w:hAnsi="Candara" w:cs="Arial"/>
          <w:sz w:val="16"/>
          <w:szCs w:val="20"/>
          <w:shd w:val="clear" w:color="auto" w:fill="FFFFFF"/>
          <w:lang w:val="es-ES" w:eastAsia="es-ES"/>
        </w:rPr>
      </w:pPr>
    </w:p>
    <w:p w14:paraId="4379E9D3" w14:textId="77777777" w:rsidR="00B110F5" w:rsidRPr="00EB105A" w:rsidRDefault="00B110F5" w:rsidP="00831758">
      <w:pPr>
        <w:tabs>
          <w:tab w:val="left" w:pos="1275"/>
        </w:tabs>
        <w:spacing w:after="0" w:line="240" w:lineRule="auto"/>
        <w:contextualSpacing/>
        <w:jc w:val="both"/>
        <w:rPr>
          <w:rFonts w:ascii="Candara" w:eastAsia="Times New Roman" w:hAnsi="Candara" w:cs="Arial"/>
          <w:sz w:val="20"/>
          <w:szCs w:val="20"/>
          <w:shd w:val="clear" w:color="auto" w:fill="FFFFFF"/>
          <w:lang w:val="es-ES" w:eastAsia="es-ES"/>
        </w:rPr>
      </w:pPr>
      <w:r w:rsidRPr="00EB105A">
        <w:rPr>
          <w:rFonts w:ascii="Candara" w:eastAsia="Times New Roman" w:hAnsi="Candara" w:cs="Arial"/>
          <w:sz w:val="20"/>
          <w:szCs w:val="20"/>
          <w:shd w:val="clear" w:color="auto" w:fill="FFFFFF"/>
          <w:lang w:val="es-ES" w:eastAsia="es-ES"/>
        </w:rPr>
        <w:t>Juntos hemos definido el rumbo a seguir, con metas y objetivos comunes, con resultados medibles y evaluables; éste será un programa de gobierno incluyente, que representa a la mayoría de la población michoacana.</w:t>
      </w:r>
    </w:p>
    <w:p w14:paraId="370C207D" w14:textId="77777777" w:rsidR="00B110F5" w:rsidRPr="00D46751" w:rsidRDefault="00B110F5" w:rsidP="00831758">
      <w:pPr>
        <w:spacing w:after="0" w:line="240" w:lineRule="auto"/>
        <w:jc w:val="both"/>
        <w:rPr>
          <w:rFonts w:ascii="Candara" w:eastAsia="Times New Roman" w:hAnsi="Candara" w:cs="Arial"/>
          <w:b/>
          <w:sz w:val="16"/>
          <w:szCs w:val="20"/>
          <w:shd w:val="clear" w:color="auto" w:fill="FFFFFF"/>
          <w:lang w:val="es-ES" w:eastAsia="es-ES"/>
        </w:rPr>
      </w:pPr>
    </w:p>
    <w:p w14:paraId="67473745" w14:textId="77777777" w:rsidR="00B110F5" w:rsidRPr="00EB105A" w:rsidRDefault="00B110F5" w:rsidP="00831758">
      <w:pPr>
        <w:tabs>
          <w:tab w:val="left" w:pos="1275"/>
        </w:tabs>
        <w:spacing w:after="0" w:line="240" w:lineRule="auto"/>
        <w:contextualSpacing/>
        <w:jc w:val="both"/>
        <w:rPr>
          <w:rFonts w:ascii="Candara" w:eastAsia="Times New Roman" w:hAnsi="Candara" w:cs="Arial"/>
          <w:sz w:val="20"/>
          <w:szCs w:val="20"/>
          <w:shd w:val="clear" w:color="auto" w:fill="FFFFFF"/>
          <w:lang w:val="es-ES" w:eastAsia="es-ES"/>
        </w:rPr>
      </w:pPr>
      <w:r w:rsidRPr="00EB105A">
        <w:rPr>
          <w:rFonts w:ascii="Candara" w:eastAsia="Times New Roman" w:hAnsi="Candara" w:cs="Arial"/>
          <w:sz w:val="20"/>
          <w:szCs w:val="20"/>
          <w:shd w:val="clear" w:color="auto" w:fill="FFFFFF"/>
          <w:lang w:val="es-ES" w:eastAsia="es-ES"/>
        </w:rPr>
        <w:t>Es momento de que Michoacán recupere su lugar como propulsor de los grandes cambios en la historia nacional, detonar el potencial de cada una de las 10 regiones para acabar con la marginación, recuperar la estabilidad, la paz y el desarrollo integral, haciendo efectivo el estado de derecho.</w:t>
      </w:r>
    </w:p>
    <w:p w14:paraId="3220466E" w14:textId="77777777" w:rsidR="00B110F5" w:rsidRPr="00D46751" w:rsidRDefault="00B110F5" w:rsidP="00831758">
      <w:pPr>
        <w:tabs>
          <w:tab w:val="left" w:pos="1275"/>
        </w:tabs>
        <w:spacing w:after="0" w:line="240" w:lineRule="auto"/>
        <w:contextualSpacing/>
        <w:jc w:val="both"/>
        <w:rPr>
          <w:rFonts w:ascii="Candara" w:eastAsia="Times New Roman" w:hAnsi="Candara" w:cs="Arial"/>
          <w:sz w:val="16"/>
          <w:szCs w:val="20"/>
          <w:shd w:val="clear" w:color="auto" w:fill="FFFFFF"/>
          <w:lang w:val="es-ES" w:eastAsia="es-ES"/>
        </w:rPr>
      </w:pPr>
    </w:p>
    <w:p w14:paraId="1B3AC72D" w14:textId="77777777" w:rsidR="00B110F5" w:rsidRPr="00EB105A" w:rsidRDefault="00B110F5" w:rsidP="00831758">
      <w:pPr>
        <w:tabs>
          <w:tab w:val="left" w:pos="1275"/>
        </w:tabs>
        <w:spacing w:after="0" w:line="240" w:lineRule="auto"/>
        <w:contextualSpacing/>
        <w:jc w:val="both"/>
        <w:rPr>
          <w:rFonts w:ascii="Candara" w:eastAsia="Times New Roman" w:hAnsi="Candara" w:cs="Arial"/>
          <w:sz w:val="20"/>
          <w:szCs w:val="20"/>
          <w:shd w:val="clear" w:color="auto" w:fill="FFFFFF"/>
          <w:lang w:val="es-ES" w:eastAsia="es-ES"/>
        </w:rPr>
      </w:pPr>
      <w:r w:rsidRPr="00EB105A">
        <w:rPr>
          <w:rFonts w:ascii="Candara" w:eastAsia="Times New Roman" w:hAnsi="Candara" w:cs="Arial"/>
          <w:sz w:val="20"/>
          <w:szCs w:val="20"/>
          <w:shd w:val="clear" w:color="auto" w:fill="FFFFFF"/>
          <w:lang w:val="es-ES" w:eastAsia="es-ES"/>
        </w:rPr>
        <w:t xml:space="preserve">Con la presentación de este documento reitero el compromiso con el desarrollo integral del Estado Libre y Soberano de Michoacán de Ocampo. En el PLADIEM tenemos un instrumento guía para consolidar la prosperidad del estado. </w:t>
      </w:r>
    </w:p>
    <w:p w14:paraId="38F7BB53" w14:textId="77777777" w:rsidR="00B34E14" w:rsidRPr="00D46751" w:rsidRDefault="00B34E14" w:rsidP="00831758">
      <w:pPr>
        <w:tabs>
          <w:tab w:val="left" w:pos="1275"/>
        </w:tabs>
        <w:spacing w:after="0" w:line="240" w:lineRule="auto"/>
        <w:contextualSpacing/>
        <w:jc w:val="both"/>
        <w:rPr>
          <w:rFonts w:ascii="Candara" w:eastAsia="Times New Roman" w:hAnsi="Candara" w:cs="Arial"/>
          <w:sz w:val="16"/>
          <w:szCs w:val="20"/>
          <w:shd w:val="clear" w:color="auto" w:fill="FFFFFF"/>
          <w:lang w:val="es-ES" w:eastAsia="es-ES"/>
        </w:rPr>
      </w:pPr>
    </w:p>
    <w:p w14:paraId="12DA3EEA" w14:textId="77777777" w:rsidR="001C57BA" w:rsidRPr="00EB105A" w:rsidRDefault="001C57BA" w:rsidP="00831758">
      <w:pPr>
        <w:spacing w:after="0" w:line="240" w:lineRule="auto"/>
        <w:jc w:val="both"/>
        <w:rPr>
          <w:rFonts w:ascii="Candara" w:eastAsia="Times New Roman" w:hAnsi="Candara" w:cs="Arial"/>
          <w:sz w:val="20"/>
          <w:szCs w:val="20"/>
          <w:lang w:val="es-ES" w:eastAsia="es-ES"/>
        </w:rPr>
      </w:pPr>
      <w:r w:rsidRPr="00EB105A">
        <w:rPr>
          <w:rFonts w:ascii="Candara" w:eastAsia="Times New Roman" w:hAnsi="Candara" w:cs="Arial"/>
          <w:sz w:val="20"/>
          <w:szCs w:val="20"/>
          <w:lang w:val="es-ES" w:eastAsia="es-ES"/>
        </w:rPr>
        <w:t>Convoco a todas las michoacanas y a todos los michoacanos para que nos unamos con el propósito superior de cumplir cada quien con su parte.</w:t>
      </w:r>
      <w:r w:rsidR="00DC2E59" w:rsidRPr="00EB105A">
        <w:rPr>
          <w:rFonts w:ascii="Candara" w:eastAsia="Times New Roman" w:hAnsi="Candara" w:cs="Arial"/>
          <w:sz w:val="20"/>
          <w:szCs w:val="20"/>
          <w:lang w:val="es-ES" w:eastAsia="es-ES"/>
        </w:rPr>
        <w:t xml:space="preserve"> </w:t>
      </w:r>
      <w:r w:rsidRPr="00EB105A">
        <w:rPr>
          <w:rFonts w:ascii="Candara" w:eastAsia="Times New Roman" w:hAnsi="Candara" w:cs="Arial"/>
          <w:sz w:val="20"/>
          <w:szCs w:val="20"/>
          <w:lang w:val="es-ES" w:eastAsia="es-ES"/>
        </w:rPr>
        <w:t>Asumamos cada quien nuestra responsabilidad en la construcción del presente y del futuro de Michoacán.  ¡Avancemos con la fuerza de nuestra unidad!</w:t>
      </w:r>
    </w:p>
    <w:p w14:paraId="59AC4FBA" w14:textId="77777777" w:rsidR="00EB105A" w:rsidRPr="00EB105A" w:rsidRDefault="00EB105A" w:rsidP="00831758">
      <w:pPr>
        <w:tabs>
          <w:tab w:val="left" w:pos="1275"/>
        </w:tabs>
        <w:spacing w:after="0" w:line="240" w:lineRule="auto"/>
        <w:contextualSpacing/>
        <w:jc w:val="right"/>
        <w:rPr>
          <w:rFonts w:ascii="Candara" w:eastAsia="Times New Roman" w:hAnsi="Candara" w:cs="Arial"/>
          <w:b/>
          <w:sz w:val="20"/>
          <w:szCs w:val="20"/>
          <w:lang w:val="es-ES" w:eastAsia="es-ES"/>
        </w:rPr>
      </w:pPr>
    </w:p>
    <w:p w14:paraId="427B7FAB" w14:textId="77777777" w:rsidR="001C57BA" w:rsidRPr="00EB105A" w:rsidRDefault="001C57BA" w:rsidP="00831758">
      <w:pPr>
        <w:tabs>
          <w:tab w:val="left" w:pos="1275"/>
        </w:tabs>
        <w:spacing w:after="0" w:line="240" w:lineRule="auto"/>
        <w:contextualSpacing/>
        <w:jc w:val="right"/>
        <w:rPr>
          <w:rFonts w:ascii="Candara" w:eastAsia="Times New Roman" w:hAnsi="Candara" w:cs="Arial"/>
          <w:b/>
          <w:sz w:val="20"/>
          <w:szCs w:val="20"/>
          <w:lang w:val="es-ES" w:eastAsia="es-ES"/>
        </w:rPr>
      </w:pPr>
    </w:p>
    <w:p w14:paraId="16DD8895" w14:textId="77777777" w:rsidR="001C57BA" w:rsidRPr="007B4312" w:rsidRDefault="001C57BA" w:rsidP="00EB105A">
      <w:pPr>
        <w:tabs>
          <w:tab w:val="left" w:pos="1275"/>
        </w:tabs>
        <w:spacing w:after="0" w:line="240" w:lineRule="auto"/>
        <w:contextualSpacing/>
        <w:jc w:val="center"/>
        <w:rPr>
          <w:rFonts w:ascii="Candara" w:eastAsia="Times New Roman" w:hAnsi="Candara" w:cs="Arial"/>
          <w:b/>
          <w:sz w:val="20"/>
          <w:szCs w:val="20"/>
          <w:lang w:val="es-ES" w:eastAsia="es-ES"/>
        </w:rPr>
      </w:pPr>
      <w:r w:rsidRPr="007B4312">
        <w:rPr>
          <w:rFonts w:ascii="Candara" w:eastAsia="Times New Roman" w:hAnsi="Candara" w:cs="Arial"/>
          <w:b/>
          <w:sz w:val="20"/>
          <w:szCs w:val="20"/>
          <w:lang w:val="es-ES" w:eastAsia="es-ES"/>
        </w:rPr>
        <w:t>Ing. Silvano Aureoles Conejo</w:t>
      </w:r>
    </w:p>
    <w:p w14:paraId="4BCD7E37" w14:textId="77777777" w:rsidR="000552F5" w:rsidRDefault="001C57BA" w:rsidP="00EB105A">
      <w:pPr>
        <w:tabs>
          <w:tab w:val="left" w:pos="1275"/>
        </w:tabs>
        <w:spacing w:after="0" w:line="240" w:lineRule="auto"/>
        <w:contextualSpacing/>
        <w:jc w:val="center"/>
        <w:rPr>
          <w:rFonts w:ascii="Candara" w:eastAsia="Times New Roman" w:hAnsi="Candara" w:cs="Arial"/>
          <w:sz w:val="20"/>
          <w:szCs w:val="20"/>
          <w:lang w:val="es-ES" w:eastAsia="es-ES"/>
        </w:rPr>
        <w:sectPr w:rsidR="000552F5" w:rsidSect="00EB105A">
          <w:footnotePr>
            <w:numStart w:val="4"/>
          </w:footnotePr>
          <w:type w:val="continuous"/>
          <w:pgSz w:w="12240" w:h="15840"/>
          <w:pgMar w:top="1304" w:right="1134" w:bottom="1418" w:left="1134" w:header="709" w:footer="709" w:gutter="0"/>
          <w:cols w:num="2" w:space="567"/>
          <w:docGrid w:linePitch="360"/>
        </w:sectPr>
      </w:pPr>
      <w:r w:rsidRPr="007B4312">
        <w:rPr>
          <w:rFonts w:ascii="Candara" w:eastAsia="Times New Roman" w:hAnsi="Candara" w:cs="Arial"/>
          <w:b/>
          <w:sz w:val="20"/>
          <w:szCs w:val="20"/>
          <w:lang w:val="es-ES" w:eastAsia="es-ES"/>
        </w:rPr>
        <w:t>Gobernador Constitucional del Estado Libre y Soberano de Michoacán de Ocamp</w:t>
      </w:r>
      <w:r w:rsidRPr="00EB105A">
        <w:rPr>
          <w:rFonts w:ascii="Candara" w:eastAsia="Times New Roman" w:hAnsi="Candara" w:cs="Arial"/>
          <w:sz w:val="20"/>
          <w:szCs w:val="20"/>
          <w:lang w:val="es-ES" w:eastAsia="es-ES"/>
        </w:rPr>
        <w:t>o</w:t>
      </w:r>
    </w:p>
    <w:p w14:paraId="256FE5C4" w14:textId="77777777" w:rsidR="000E466E" w:rsidRPr="007B4312" w:rsidRDefault="002558E3" w:rsidP="000E466E">
      <w:pPr>
        <w:keepNext/>
        <w:spacing w:before="240" w:after="60"/>
        <w:outlineLvl w:val="0"/>
        <w:rPr>
          <w:rFonts w:ascii="GalanoGrotesque-Medium" w:eastAsia="Times New Roman" w:hAnsi="GalanoGrotesque-Medium" w:cs="Arial"/>
          <w:b/>
          <w:bCs/>
          <w:kern w:val="32"/>
          <w:sz w:val="32"/>
          <w:szCs w:val="32"/>
          <w:lang w:val="es-ES" w:eastAsia="es-ES"/>
        </w:rPr>
      </w:pPr>
      <w:bookmarkStart w:id="1" w:name="_Toc458015630"/>
      <w:r>
        <w:rPr>
          <w:b/>
        </w:rPr>
        <w:lastRenderedPageBreak/>
        <w:pict w14:anchorId="37FA6BC1">
          <v:shape id="Imagen 5" o:spid="_x0000_i1025" type="#_x0000_t75" style="width:24pt;height:11.25pt;visibility:visible">
            <v:imagedata r:id="rId17" o:title=""/>
          </v:shape>
        </w:pict>
      </w:r>
      <w:bookmarkStart w:id="2" w:name="_Toc455045705"/>
      <w:r w:rsidR="004C5E0A" w:rsidRPr="007B4312">
        <w:rPr>
          <w:b/>
        </w:rPr>
        <w:t xml:space="preserve"> </w:t>
      </w:r>
      <w:r w:rsidR="000552F5" w:rsidRPr="007B4312">
        <w:rPr>
          <w:rFonts w:ascii="GalanoGrotesque-Black" w:hAnsi="GalanoGrotesque-Black" w:cs="GalanoGrotesque-Black"/>
          <w:b/>
          <w:color w:val="414142"/>
          <w:sz w:val="32"/>
          <w:szCs w:val="32"/>
        </w:rPr>
        <w:t>Introducción</w:t>
      </w:r>
      <w:bookmarkEnd w:id="1"/>
      <w:bookmarkEnd w:id="2"/>
      <w:r w:rsidR="000E466E" w:rsidRPr="007B4312">
        <w:rPr>
          <w:rFonts w:ascii="GalanoGrotesque-Medium" w:eastAsia="Times New Roman" w:hAnsi="GalanoGrotesque-Medium" w:cs="Arial"/>
          <w:b/>
          <w:bCs/>
          <w:kern w:val="32"/>
          <w:sz w:val="32"/>
          <w:szCs w:val="32"/>
          <w:lang w:val="es-ES" w:eastAsia="es-ES"/>
        </w:rPr>
        <w:t xml:space="preserve"> </w:t>
      </w:r>
    </w:p>
    <w:p w14:paraId="50CE4540" w14:textId="77777777" w:rsidR="000E466E"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Michoacán es una entidad que se caracteriza por su enorme potencial en el desarrollo de capacidades competitivas orientadas a la generación de valor agregado en sus productos hortofrutícolas, prueba de ello es que Michoacán es el primer productor nacional de zarzamora, aguacate, fresa, guayaba, pepino y limón.</w:t>
      </w:r>
    </w:p>
    <w:p w14:paraId="1443992C" w14:textId="5BE58FF2"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Michoacán destaca también por ser uno de los estados con mayor biodiversidad del país, ya que en su territorio se encuentran diversos climas, alturas y paisajes que enriquecen su potencial económico. Asimismo, gran parte de los bosques y valles del Estado son escenarios de migraciones masivas como las de las </w:t>
      </w:r>
      <w:r w:rsidR="000C48C1">
        <w:rPr>
          <w:rFonts w:ascii="MyriadPro-Regular" w:hAnsi="MyriadPro-Regular" w:cs="MyriadPro-Regular"/>
          <w:color w:val="414142"/>
          <w:sz w:val="20"/>
          <w:szCs w:val="20"/>
        </w:rPr>
        <w:t>m</w:t>
      </w:r>
      <w:r w:rsidRPr="000552F5">
        <w:rPr>
          <w:rFonts w:ascii="MyriadPro-Regular" w:hAnsi="MyriadPro-Regular" w:cs="MyriadPro-Regular"/>
          <w:color w:val="414142"/>
          <w:sz w:val="20"/>
          <w:szCs w:val="20"/>
        </w:rPr>
        <w:t xml:space="preserve">ariposas Monarca y los </w:t>
      </w:r>
      <w:r w:rsidR="000C48C1">
        <w:rPr>
          <w:rFonts w:ascii="MyriadPro-Regular" w:hAnsi="MyriadPro-Regular" w:cs="MyriadPro-Regular"/>
          <w:color w:val="414142"/>
          <w:sz w:val="20"/>
          <w:szCs w:val="20"/>
        </w:rPr>
        <w:t>p</w:t>
      </w:r>
      <w:r w:rsidRPr="000552F5">
        <w:rPr>
          <w:rFonts w:ascii="MyriadPro-Regular" w:hAnsi="MyriadPro-Regular" w:cs="MyriadPro-Regular"/>
          <w:color w:val="414142"/>
          <w:sz w:val="20"/>
          <w:szCs w:val="20"/>
        </w:rPr>
        <w:t xml:space="preserve">elícanos </w:t>
      </w:r>
      <w:proofErr w:type="spellStart"/>
      <w:r w:rsidRPr="000552F5">
        <w:rPr>
          <w:rFonts w:ascii="MyriadPro-Regular" w:hAnsi="MyriadPro-Regular" w:cs="MyriadPro-Regular"/>
          <w:color w:val="414142"/>
          <w:sz w:val="20"/>
          <w:szCs w:val="20"/>
        </w:rPr>
        <w:t>Borregón</w:t>
      </w:r>
      <w:proofErr w:type="spellEnd"/>
      <w:r w:rsidRPr="000552F5">
        <w:rPr>
          <w:rFonts w:ascii="MyriadPro-Regular" w:hAnsi="MyriadPro-Regular" w:cs="MyriadPro-Regular"/>
          <w:color w:val="414142"/>
          <w:sz w:val="20"/>
          <w:szCs w:val="20"/>
        </w:rPr>
        <w:t xml:space="preserve">, que encuentran en Michoacán condiciones propicias para su estadía durante el otoño e invierno. </w:t>
      </w:r>
    </w:p>
    <w:p w14:paraId="0057D633"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De igual forma, Michoacán es un Estado rico en recursos renovables y no renovables donde existen reservas forestales de gran relevancia. Posee también una gran riqueza hidráulica al ser el tercer Estado del país con mayor cantidad de agua en ríos, lagos y cuencas, después de Chiapas y Tabasco. </w:t>
      </w:r>
    </w:p>
    <w:p w14:paraId="44C11242"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La  riqueza gastronómica, tradiciones y artesanía michoacanas son reconocidas y apreciadas a nivel mundial. El Estado de Michoacán ofrece grandes atractivos turísticos, culturales y ecológicos que se expresan en sus Pueblos Mágicos. El Centro Histórico de su capital, Morelia, es Patrimonio Mundial de la Humanidad por sus bellezas artísticas y arquitectónicas. La cultura de Michoacán se refleja en sus tradiciones y manifestaciones de éstas como las </w:t>
      </w:r>
      <w:proofErr w:type="spellStart"/>
      <w:r w:rsidRPr="000552F5">
        <w:rPr>
          <w:rFonts w:ascii="MyriadPro-Regular" w:hAnsi="MyriadPro-Regular" w:cs="MyriadPro-Regular"/>
          <w:color w:val="414142"/>
          <w:sz w:val="20"/>
          <w:szCs w:val="20"/>
        </w:rPr>
        <w:t>pirekuas</w:t>
      </w:r>
      <w:proofErr w:type="spellEnd"/>
      <w:r w:rsidRPr="000552F5">
        <w:rPr>
          <w:rFonts w:ascii="MyriadPro-Regular" w:hAnsi="MyriadPro-Regular" w:cs="MyriadPro-Regular"/>
          <w:color w:val="414142"/>
          <w:sz w:val="20"/>
          <w:szCs w:val="20"/>
        </w:rPr>
        <w:t>, la charanda, el tequila, el mezcal, el queso Cotija región de origen, el tianguis de artesanías más grande de América Latina en Uruapan y la Noche de Muertos en Pátzcuaro. Nuestro Estado también ha sido cuna de mujeres y hombres destacados en la ciencia, arte, deporte y literatura.</w:t>
      </w:r>
    </w:p>
    <w:p w14:paraId="3DE63C81"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El 4% de la población michoacana es hablante de lenguas indígenas, como son la Purépecha, Náhuatl, Mazahua y lenguas Mixtecas, y casi un 15% de la población michoacana pertenece a algún grupo indígena, lo que posiciona al Estado como uno de los más diversos desde el punto de vista cultural. </w:t>
      </w:r>
    </w:p>
    <w:p w14:paraId="44ABF083" w14:textId="77777777" w:rsidR="00333D80"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lastRenderedPageBreak/>
        <w:t xml:space="preserve">Michoacán tiene una larga tradición migratoria, principalmente hacia los Estados Unidos de América. </w:t>
      </w:r>
    </w:p>
    <w:p w14:paraId="5B37258A"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Después de Guanajuato, Michoacán es la entidad con mayor número de migrantes y es el mayor captador de remesas del país.</w:t>
      </w:r>
    </w:p>
    <w:p w14:paraId="6DA7FD77"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Michoacán es también un campo fértil para la innovación y creación de sinergias de alto impacto dado su potencial para la generación de energías renovables. Diversos estudios indican que tiene un vasto potencial para desarrollar la energía geo-térmica, así como también la solar e hidráulica. </w:t>
      </w:r>
    </w:p>
    <w:p w14:paraId="60B3B25E"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Su localización en el centro del país, cercano a los mercados más importantes, y la cercanía con otras entidades sumamente dinámicas en ramas industriales de importancia (Guanajuato, Querétaro, Estado de México y Jalisco), así como su amplia red de universidades, institutos tecnológicos y centros de investigación, lo colocan en una situación ventajosa para propiciar desarrollos disruptivos de alto contenido tecnológico e impacto, como son la Agroindustria, la Metalmecánica, la Farmacéutica y las Tecnologías de la Información y Comunicaciones. </w:t>
      </w:r>
    </w:p>
    <w:p w14:paraId="68CEAEF7"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La ubicación geográfica del Estado en la costa del Pacífico y su infraestructura portuaria de talla internacional en el puerto de Lázaro Cárdenas, colocan a Michoacán en una posición privilegiada frente a los mercados norteamericanos y asiáticos. Por ser Michoacán una potencia en la producción agrícola, hortofrutícola y de invernadero, se encuentra frente a una magnífica oportunidad de incrementar el valor de esa producción mediante la detonación de inversiones que impulsen el aumento de la productividad agropecuaria y la industrialización Agroalimentaria. </w:t>
      </w:r>
    </w:p>
    <w:p w14:paraId="5C1B2C5F" w14:textId="148CA69C"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Michoacán destaca también por su generación de importantes investigaciones en biotecnología</w:t>
      </w:r>
      <w:r w:rsidR="000C48C1">
        <w:rPr>
          <w:rFonts w:ascii="MyriadPro-Regular" w:hAnsi="MyriadPro-Regular" w:cs="MyriadPro-Regular"/>
          <w:color w:val="414142"/>
          <w:sz w:val="20"/>
          <w:szCs w:val="20"/>
        </w:rPr>
        <w:t xml:space="preserve"> y</w:t>
      </w:r>
      <w:r w:rsidRPr="000552F5">
        <w:rPr>
          <w:rFonts w:ascii="MyriadPro-Regular" w:hAnsi="MyriadPro-Regular" w:cs="MyriadPro-Regular"/>
          <w:color w:val="414142"/>
          <w:sz w:val="20"/>
          <w:szCs w:val="20"/>
        </w:rPr>
        <w:t xml:space="preserve"> descubrimientos científicos </w:t>
      </w:r>
      <w:r w:rsidR="000C48C1">
        <w:rPr>
          <w:rFonts w:ascii="MyriadPro-Regular" w:hAnsi="MyriadPro-Regular" w:cs="MyriadPro-Regular"/>
          <w:color w:val="414142"/>
          <w:sz w:val="20"/>
          <w:szCs w:val="20"/>
        </w:rPr>
        <w:t>relevantes</w:t>
      </w:r>
      <w:r w:rsidRPr="000552F5">
        <w:rPr>
          <w:rFonts w:ascii="MyriadPro-Regular" w:hAnsi="MyriadPro-Regular" w:cs="MyriadPro-Regular"/>
          <w:color w:val="414142"/>
          <w:sz w:val="20"/>
          <w:szCs w:val="20"/>
        </w:rPr>
        <w:t xml:space="preserve"> a nivel nacional e internacional en la preservación de los recursos naturales. Cuenta con 573 investigadores pertenecientes al Sistema Nacional de Investigadores y tiene una importante capacidad de generar y mantener recursos humanos bien capacitados.</w:t>
      </w:r>
    </w:p>
    <w:p w14:paraId="19820EE8" w14:textId="72E0660B"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Sin embargo, Michoacán tiene importantes retos por afrontar. Mucho de este gran potencial y riqueza no se ha transformado en un factor de desarrollo y de bienestar para la población, e incluso, hay ya un proceso de desgaste y pérdida de su capital natural que resulta preocupante. Por </w:t>
      </w:r>
      <w:r w:rsidRPr="000552F5">
        <w:rPr>
          <w:rFonts w:ascii="MyriadPro-Regular" w:hAnsi="MyriadPro-Regular" w:cs="MyriadPro-Regular"/>
          <w:color w:val="414142"/>
          <w:sz w:val="20"/>
          <w:szCs w:val="20"/>
        </w:rPr>
        <w:lastRenderedPageBreak/>
        <w:t>ejemplo, hay 271 especies reconocidas oficialmente en categoría de riesgo, de las cuales 207 son especies animales, 54 son especies de plantas y 10 son especies de hongos, y nuestra riqueza forestal se pierde día a día como resultado de la tala ilegal, incendios y la expansión desordenada de actividades agrícolas, pecuarias y de la mancha urbana. También existen ya cuencas, sub-cuencas y lagos que tienen un proceso de degradación intenso como resultado de la falta</w:t>
      </w:r>
      <w:r w:rsidR="000C48C1">
        <w:rPr>
          <w:rFonts w:ascii="MyriadPro-Regular" w:hAnsi="MyriadPro-Regular" w:cs="MyriadPro-Regular"/>
          <w:color w:val="414142"/>
          <w:sz w:val="20"/>
          <w:szCs w:val="20"/>
        </w:rPr>
        <w:t xml:space="preserve"> de</w:t>
      </w:r>
      <w:r w:rsidRPr="000552F5">
        <w:rPr>
          <w:rFonts w:ascii="MyriadPro-Regular" w:hAnsi="MyriadPro-Regular" w:cs="MyriadPro-Regular"/>
          <w:color w:val="414142"/>
          <w:sz w:val="20"/>
          <w:szCs w:val="20"/>
        </w:rPr>
        <w:t xml:space="preserve"> acciones efectivas en el saneamiento de las aguas residuales. </w:t>
      </w:r>
    </w:p>
    <w:p w14:paraId="2D829E51"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La gran inestabilidad que el Estado tuvo durante los últimos años ha generado procesos sociales negativos que han afectado la cohesión social, la paz y han rezagado el desarrollo humano en forma significativa.</w:t>
      </w:r>
    </w:p>
    <w:p w14:paraId="07006092" w14:textId="0F1F2D2D"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Las tres cuestiones más importantes a resolver son los temas relacionados con la seguridad pública, la situación en las finanzas de Estado </w:t>
      </w:r>
      <w:r w:rsidR="000C48C1">
        <w:rPr>
          <w:rFonts w:ascii="MyriadPro-Regular" w:hAnsi="MyriadPro-Regular" w:cs="MyriadPro-Regular"/>
          <w:color w:val="414142"/>
          <w:sz w:val="20"/>
          <w:szCs w:val="20"/>
        </w:rPr>
        <w:t>y la calidad</w:t>
      </w:r>
      <w:r w:rsidRPr="000552F5">
        <w:rPr>
          <w:rFonts w:ascii="MyriadPro-Regular" w:hAnsi="MyriadPro-Regular" w:cs="MyriadPro-Regular"/>
          <w:color w:val="414142"/>
          <w:sz w:val="20"/>
          <w:szCs w:val="20"/>
        </w:rPr>
        <w:t xml:space="preserve"> y acceso a la educación. Sin enfrentar en forma decidida estas problemáticas y lograr avances significativos, el Estado no podrá retomar un camino de bienestar y progreso.</w:t>
      </w:r>
    </w:p>
    <w:p w14:paraId="34857E08"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En el tema de seguridad pública, se requiere fortalecer las instituciones, profesionalizar su capital humano y lograr la participación activa de la sociedad en la construcción de un ambiente pacífico que privilegie el trabajo honesto y el esfuerzo como medios para lograr el legítimo bienestar al que todos aspiramos. </w:t>
      </w:r>
    </w:p>
    <w:p w14:paraId="0040CD34"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En el objetivo de lograr finanzas públicas sanas, se requieren acciones decisivas para poner orden y disciplina presupuestarias mediante medidas de austeridad, transparencia y eficiencia del gasto público. A la par, es indispensable una evaluación integral de la estructura gubernamental del Estado con objeto de evitar duplicidades en las tareas y evitar gastos innecesarios. Es asimismo inaplazable lograr una mayor eficiencia en la recaudación y generar un mayor porcentaje de ingresos propios en los municipios y en el gobierno estatal mismo. </w:t>
      </w:r>
    </w:p>
    <w:p w14:paraId="510D04A1" w14:textId="4BE5A702" w:rsidR="000E466E" w:rsidRPr="000552F5" w:rsidRDefault="00E71D94" w:rsidP="00204156">
      <w:pPr>
        <w:spacing w:after="160" w:line="240" w:lineRule="auto"/>
        <w:jc w:val="both"/>
        <w:rPr>
          <w:rFonts w:ascii="MyriadPro-Regular" w:hAnsi="MyriadPro-Regular" w:cs="MyriadPro-Regular"/>
          <w:color w:val="414142"/>
          <w:sz w:val="20"/>
          <w:szCs w:val="20"/>
        </w:rPr>
      </w:pPr>
      <w:r>
        <w:rPr>
          <w:rFonts w:ascii="MyriadPro-Regular" w:hAnsi="MyriadPro-Regular" w:cs="MyriadPro-Regular"/>
          <w:noProof/>
          <w:color w:val="414142"/>
          <w:sz w:val="20"/>
          <w:szCs w:val="20"/>
          <w:lang w:val="es-ES" w:eastAsia="es-ES"/>
        </w:rPr>
        <w:drawing>
          <wp:anchor distT="0" distB="0" distL="114300" distR="114300" simplePos="0" relativeHeight="251765248" behindDoc="0" locked="0" layoutInCell="1" allowOverlap="1" wp14:anchorId="1D049BE3" wp14:editId="54DD25F6">
            <wp:simplePos x="0" y="0"/>
            <wp:positionH relativeFrom="page">
              <wp:posOffset>6540</wp:posOffset>
            </wp:positionH>
            <wp:positionV relativeFrom="paragraph">
              <wp:posOffset>2213610</wp:posOffset>
            </wp:positionV>
            <wp:extent cx="7722000" cy="234000"/>
            <wp:effectExtent l="0" t="0" r="0" b="0"/>
            <wp:wrapNone/>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leca-abaj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22000" cy="234000"/>
                    </a:xfrm>
                    <a:prstGeom prst="rect">
                      <a:avLst/>
                    </a:prstGeom>
                  </pic:spPr>
                </pic:pic>
              </a:graphicData>
            </a:graphic>
            <wp14:sizeRelH relativeFrom="page">
              <wp14:pctWidth>0</wp14:pctWidth>
            </wp14:sizeRelH>
            <wp14:sizeRelV relativeFrom="page">
              <wp14:pctHeight>0</wp14:pctHeight>
            </wp14:sizeRelV>
          </wp:anchor>
        </w:drawing>
      </w:r>
      <w:r w:rsidR="000E466E" w:rsidRPr="000552F5">
        <w:rPr>
          <w:rFonts w:ascii="MyriadPro-Regular" w:hAnsi="MyriadPro-Regular" w:cs="MyriadPro-Regular"/>
          <w:color w:val="414142"/>
          <w:sz w:val="20"/>
          <w:szCs w:val="20"/>
        </w:rPr>
        <w:t xml:space="preserve">La educación en Michoacán enfrenta grandes retos para dotar a los niños, las niñas y los jóvenes de las herramientas necesarias para afrontar los desafíos de la sociedad moderna. Hay un índice de deserción escolar alto, la escolaridad promedio es todavía muy baja, la calidad educativa es insuficiente y se requiere ampliar la cobertura de los servicios educativos. La deserción escolar de los adolescentes </w:t>
      </w:r>
      <w:r w:rsidR="00C73B89">
        <w:rPr>
          <w:rFonts w:ascii="MyriadPro-Regular" w:hAnsi="MyriadPro-Regular" w:cs="MyriadPro-Regular"/>
          <w:color w:val="414142"/>
          <w:sz w:val="20"/>
          <w:szCs w:val="20"/>
        </w:rPr>
        <w:t xml:space="preserve">para encontrar fuentes de sustento familiar, </w:t>
      </w:r>
      <w:r w:rsidR="000E466E" w:rsidRPr="000552F5">
        <w:rPr>
          <w:rFonts w:ascii="MyriadPro-Regular" w:hAnsi="MyriadPro-Regular" w:cs="MyriadPro-Regular"/>
          <w:color w:val="414142"/>
          <w:sz w:val="20"/>
          <w:szCs w:val="20"/>
        </w:rPr>
        <w:t>ha contribuido al crecimiento de</w:t>
      </w:r>
      <w:r w:rsidR="00C73B89">
        <w:rPr>
          <w:rFonts w:ascii="MyriadPro-Regular" w:hAnsi="MyriadPro-Regular" w:cs="MyriadPro-Regular"/>
          <w:color w:val="414142"/>
          <w:sz w:val="20"/>
          <w:szCs w:val="20"/>
        </w:rPr>
        <w:t xml:space="preserve">l </w:t>
      </w:r>
      <w:r w:rsidR="00C73B89">
        <w:rPr>
          <w:rFonts w:ascii="MyriadPro-Regular" w:hAnsi="MyriadPro-Regular" w:cs="MyriadPro-Regular"/>
          <w:color w:val="414142"/>
          <w:sz w:val="20"/>
          <w:szCs w:val="20"/>
        </w:rPr>
        <w:lastRenderedPageBreak/>
        <w:t>empleo</w:t>
      </w:r>
      <w:r w:rsidR="000E466E" w:rsidRPr="000552F5">
        <w:rPr>
          <w:rFonts w:ascii="MyriadPro-Regular" w:hAnsi="MyriadPro-Regular" w:cs="MyriadPro-Regular"/>
          <w:color w:val="414142"/>
          <w:sz w:val="20"/>
          <w:szCs w:val="20"/>
        </w:rPr>
        <w:t xml:space="preserve"> </w:t>
      </w:r>
      <w:r w:rsidR="00C73B89">
        <w:rPr>
          <w:rFonts w:ascii="MyriadPro-Regular" w:hAnsi="MyriadPro-Regular" w:cs="MyriadPro-Regular"/>
          <w:color w:val="414142"/>
          <w:sz w:val="20"/>
          <w:szCs w:val="20"/>
        </w:rPr>
        <w:t>poco calificado</w:t>
      </w:r>
      <w:r w:rsidR="000E466E" w:rsidRPr="000552F5">
        <w:rPr>
          <w:rFonts w:ascii="MyriadPro-Regular" w:hAnsi="MyriadPro-Regular" w:cs="MyriadPro-Regular"/>
          <w:color w:val="414142"/>
          <w:sz w:val="20"/>
          <w:szCs w:val="20"/>
        </w:rPr>
        <w:t xml:space="preserve"> y </w:t>
      </w:r>
      <w:r w:rsidR="00C73B89">
        <w:rPr>
          <w:rFonts w:ascii="MyriadPro-Regular" w:hAnsi="MyriadPro-Regular" w:cs="MyriadPro-Regular"/>
          <w:color w:val="414142"/>
          <w:sz w:val="20"/>
          <w:szCs w:val="20"/>
        </w:rPr>
        <w:t xml:space="preserve">la escasa </w:t>
      </w:r>
      <w:r w:rsidR="000E466E" w:rsidRPr="000552F5">
        <w:rPr>
          <w:rFonts w:ascii="MyriadPro-Regular" w:hAnsi="MyriadPro-Regular" w:cs="MyriadPro-Regular"/>
          <w:color w:val="414142"/>
          <w:sz w:val="20"/>
          <w:szCs w:val="20"/>
        </w:rPr>
        <w:t xml:space="preserve">cobertura del sistema educativo </w:t>
      </w:r>
      <w:r w:rsidR="00C73B89">
        <w:rPr>
          <w:rFonts w:ascii="MyriadPro-Regular" w:hAnsi="MyriadPro-Regular" w:cs="MyriadPro-Regular"/>
          <w:color w:val="414142"/>
          <w:sz w:val="20"/>
          <w:szCs w:val="20"/>
        </w:rPr>
        <w:t>está impidiendo</w:t>
      </w:r>
      <w:r w:rsidR="000E466E" w:rsidRPr="000552F5">
        <w:rPr>
          <w:rFonts w:ascii="MyriadPro-Regular" w:hAnsi="MyriadPro-Regular" w:cs="MyriadPro-Regular"/>
          <w:color w:val="414142"/>
          <w:sz w:val="20"/>
          <w:szCs w:val="20"/>
        </w:rPr>
        <w:t xml:space="preserve"> el desarrollo pleno de las capacidades de la población. La sociedad michoacana también requiere de más espacios de cultura, deporte y esparcimiento adecuados, sobre todo en las regiones más alejadas y marginadas. </w:t>
      </w:r>
    </w:p>
    <w:p w14:paraId="7B776BEE"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Con el objetivo de lograr un gobierno más incluyente, se trabajará arduamente en la salvaguarda de los derechos humanos y la erradicación de la discriminación en todos sus aspectos, con el fin de evitar la fractura de la cohesión social y lograr una convivencia pacífica y armoniosa de la población michoacana. La inclusión de los diversos grupos de la sociedad en situación de vulnerabilidad, es una prioridad por atender. </w:t>
      </w:r>
    </w:p>
    <w:p w14:paraId="2F7470B7"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Una sociedad justa debe tender a lograr la igualdad sustantiva. Las mujeres en Michoacán siguen en una situación de discriminación y la violencia y la desigualdad de género es un problema presente que requiere de acciones claras y decididas. Para lograr el pleno goce y ejercicio de los derechos humanos y las libertades fundamentales de las mujeres michoacanas, se buscarán ampliar los espacios de oportunidades laborales, de seguridad social y de procuración de justicia en condiciones de mismo trato para las mujeres. En específico, en esta Administración se dirigirán acciones concretas para el desarrollo y bienestar de las mujeres. </w:t>
      </w:r>
    </w:p>
    <w:p w14:paraId="2114DBA6"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La desigualdad prevalente en el Estado tiene como expresión más lacerante la pobreza en todas sus dimensiones y alcances. No puede haber progreso si buena parte de la población mantiene niveles inaceptables de pobreza y marginación, así como desnutrición y carencias de servicios básicos, como la vivienda, el agua potable, la educación y la salud. La lucha contra la pobreza será el pilar de la política pública en el Estado y se le dará especial atención a los grupos vulnerables, como son adultos mayores, grupos indígenas y personas con discapacidad.</w:t>
      </w:r>
    </w:p>
    <w:p w14:paraId="383B2780"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 xml:space="preserve">Por su parte, las y los michoacanos radicados en el extranjero se sentirán incluidos en las acciones de gobierno. Se establecerán estrategias y acciones para apoyarlos y lograr que las contribuciones que realizan se traduzcan en mayores acciones a favor de sus familias y sus comunidades de origen. Solo así se podrá conseguir una relación de apoyo y corresponsabilidad con las comunidades migrantes. </w:t>
      </w:r>
    </w:p>
    <w:p w14:paraId="50673C2E" w14:textId="75F617B0"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lastRenderedPageBreak/>
        <w:t>La pobreza</w:t>
      </w:r>
      <w:r w:rsidR="00F573D5">
        <w:rPr>
          <w:rFonts w:ascii="MyriadPro-Regular" w:hAnsi="MyriadPro-Regular" w:cs="MyriadPro-Regular"/>
          <w:color w:val="414142"/>
          <w:sz w:val="20"/>
          <w:szCs w:val="20"/>
        </w:rPr>
        <w:t xml:space="preserve"> y el</w:t>
      </w:r>
      <w:r w:rsidRPr="000552F5">
        <w:rPr>
          <w:rFonts w:ascii="MyriadPro-Regular" w:hAnsi="MyriadPro-Regular" w:cs="MyriadPro-Regular"/>
          <w:color w:val="414142"/>
          <w:sz w:val="20"/>
          <w:szCs w:val="20"/>
        </w:rPr>
        <w:t xml:space="preserve"> </w:t>
      </w:r>
      <w:r w:rsidR="00F573D5" w:rsidRPr="000552F5">
        <w:rPr>
          <w:rFonts w:ascii="MyriadPro-Regular" w:hAnsi="MyriadPro-Regular" w:cs="MyriadPro-Regular"/>
          <w:color w:val="414142"/>
          <w:sz w:val="20"/>
          <w:szCs w:val="20"/>
        </w:rPr>
        <w:t>menoscabo</w:t>
      </w:r>
      <w:r w:rsidRPr="000552F5">
        <w:rPr>
          <w:rFonts w:ascii="MyriadPro-Regular" w:hAnsi="MyriadPro-Regular" w:cs="MyriadPro-Regular"/>
          <w:color w:val="414142"/>
          <w:sz w:val="20"/>
          <w:szCs w:val="20"/>
        </w:rPr>
        <w:t xml:space="preserve"> de cohesión social son también en buena parte resultado de la </w:t>
      </w:r>
      <w:r w:rsidR="00F573D5">
        <w:rPr>
          <w:rFonts w:ascii="MyriadPro-Regular" w:hAnsi="MyriadPro-Regular" w:cs="MyriadPro-Regular"/>
          <w:color w:val="414142"/>
          <w:sz w:val="20"/>
          <w:szCs w:val="20"/>
        </w:rPr>
        <w:t>escasez</w:t>
      </w:r>
      <w:r w:rsidRPr="000552F5">
        <w:rPr>
          <w:rFonts w:ascii="MyriadPro-Regular" w:hAnsi="MyriadPro-Regular" w:cs="MyriadPro-Regular"/>
          <w:color w:val="414142"/>
          <w:sz w:val="20"/>
          <w:szCs w:val="20"/>
        </w:rPr>
        <w:t xml:space="preserve"> de inversión y empleo. Por ello, se establecerán políticas públicas para atraer </w:t>
      </w:r>
      <w:r w:rsidR="00F573D5">
        <w:rPr>
          <w:rFonts w:ascii="MyriadPro-Regular" w:hAnsi="MyriadPro-Regular" w:cs="MyriadPro-Regular"/>
          <w:color w:val="414142"/>
          <w:sz w:val="20"/>
          <w:szCs w:val="20"/>
        </w:rPr>
        <w:t>mayores ingresos</w:t>
      </w:r>
      <w:r w:rsidRPr="000552F5">
        <w:rPr>
          <w:rFonts w:ascii="MyriadPro-Regular" w:hAnsi="MyriadPro-Regular" w:cs="MyriadPro-Regular"/>
          <w:color w:val="414142"/>
          <w:sz w:val="20"/>
          <w:szCs w:val="20"/>
        </w:rPr>
        <w:t xml:space="preserve"> al Estado y generar empleos dignos, bien remunerados y establecidos formalmente. En particular, se buscará generar un ambiente propicio para la inversión y la actividad económica, se apoyará al sector privado para que sus inversiones tengan éxito y sean redituables, y se forjarán esquemas de participación pública privada que beneficien a la población y generen mayores opciones de desarrollo. </w:t>
      </w:r>
    </w:p>
    <w:p w14:paraId="237C9305"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La presente Administración convoca a un “Nuevo Comienzo”, aceptando el desafío que significa enfrentar los retos que han puesto en riesgo el tejido y cohesión social, y con ello el progreso del Estado. Por ello, los diversos objetivos, estrategias y acciones aquí planteados, bajo un contexto de gobernabilidad democrática, están encaminados a la reactivación económica, el desarrollo humano, la inversión y el empleo digno; la atención a la pobreza y el restablecimiento de la paz y la justicia social; la transparencia y la rendición de cuentas; la promoción de la igualdad sustantiva; la sustentabilidad ambiental y la prosperidad urbana.</w:t>
      </w:r>
    </w:p>
    <w:p w14:paraId="7D20E647"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Este “Nuevo Comienzo” está sustentado y tiene como fundamento primordial la participación de la sociedad michoacana. El proceso para la elaboración del Plan de Desarrollo Integral del Estado de Michoacán 2015-2021 se basó en una amplia consulta pública, que se realizó a través de foros en cada una de las diez regiones de Estado y dos en el extranjero. Este concurso de la ciudadanía michoacana permitió definir el rumbo del Estado que queremos, decantar sus demandas, propuestas y aspiraciones e incorporarlas a la visión del Estado que habrá de guiar el ejercicio del Gobierno durante los próximos años.</w:t>
      </w:r>
    </w:p>
    <w:p w14:paraId="722F2C39" w14:textId="77777777" w:rsidR="000E466E" w:rsidRPr="000552F5" w:rsidRDefault="000E466E" w:rsidP="00204156">
      <w:pPr>
        <w:spacing w:after="16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Los problemas de Michoacán requieren de estrategias que aborden múltiples dimensiones, por lo que el Plan de Desarrollo Integral del Estado de Michoacán 2015-2021 fue construido con base en 9 Prioridades Transversales que atienden al resultado de la consulta pública y que son dirigidas especialmente a los grupos vulnerables de la población, para generar un crecimiento y desarrollo integral e incluyente, cerrar la brecha de la desigualdad e inequidad y aprovechar el empuje, ingenio y riqueza cultural de la población michoacana:</w:t>
      </w:r>
    </w:p>
    <w:p w14:paraId="16C07F6B" w14:textId="77777777" w:rsidR="000E466E" w:rsidRPr="00E71D94" w:rsidRDefault="000E466E" w:rsidP="00E71D94">
      <w:pPr>
        <w:numPr>
          <w:ilvl w:val="0"/>
          <w:numId w:val="1"/>
        </w:numPr>
        <w:spacing w:after="0"/>
        <w:contextualSpacing/>
        <w:jc w:val="both"/>
        <w:rPr>
          <w:rFonts w:ascii="MyriadPro-Regular" w:hAnsi="MyriadPro-Regular" w:cs="MyriadPro-Regular"/>
          <w:b/>
          <w:color w:val="414142"/>
          <w:sz w:val="20"/>
          <w:szCs w:val="20"/>
        </w:rPr>
      </w:pPr>
      <w:r w:rsidRPr="00E71D94">
        <w:rPr>
          <w:rFonts w:ascii="MyriadPro-Regular" w:hAnsi="MyriadPro-Regular" w:cs="MyriadPro-Regular"/>
          <w:b/>
          <w:color w:val="414142"/>
          <w:sz w:val="20"/>
          <w:szCs w:val="20"/>
        </w:rPr>
        <w:lastRenderedPageBreak/>
        <w:t>Desarrollo humano, educación con calidad y acceso a la salud.</w:t>
      </w:r>
    </w:p>
    <w:p w14:paraId="71E4F752" w14:textId="77777777" w:rsidR="000E466E" w:rsidRPr="00E71D94" w:rsidRDefault="000E466E" w:rsidP="00E71D94">
      <w:pPr>
        <w:numPr>
          <w:ilvl w:val="0"/>
          <w:numId w:val="1"/>
        </w:numPr>
        <w:spacing w:after="0"/>
        <w:contextualSpacing/>
        <w:jc w:val="both"/>
        <w:rPr>
          <w:rFonts w:ascii="MyriadPro-Regular" w:hAnsi="MyriadPro-Regular" w:cs="MyriadPro-Regular"/>
          <w:b/>
          <w:color w:val="414142"/>
          <w:sz w:val="20"/>
          <w:szCs w:val="20"/>
        </w:rPr>
      </w:pPr>
      <w:r w:rsidRPr="00E71D94">
        <w:rPr>
          <w:rFonts w:ascii="MyriadPro-Regular" w:hAnsi="MyriadPro-Regular" w:cs="MyriadPro-Regular"/>
          <w:b/>
          <w:color w:val="414142"/>
          <w:sz w:val="20"/>
          <w:szCs w:val="20"/>
        </w:rPr>
        <w:t>Tranquilidad, justicia y paz.</w:t>
      </w:r>
    </w:p>
    <w:p w14:paraId="77F1019E" w14:textId="77777777" w:rsidR="000E466E" w:rsidRPr="00E71D94" w:rsidRDefault="000E466E" w:rsidP="00E71D94">
      <w:pPr>
        <w:numPr>
          <w:ilvl w:val="0"/>
          <w:numId w:val="1"/>
        </w:numPr>
        <w:spacing w:after="0"/>
        <w:contextualSpacing/>
        <w:jc w:val="both"/>
        <w:rPr>
          <w:rFonts w:ascii="MyriadPro-Regular" w:hAnsi="MyriadPro-Regular" w:cs="MyriadPro-Regular"/>
          <w:b/>
          <w:color w:val="414142"/>
          <w:sz w:val="20"/>
          <w:szCs w:val="20"/>
        </w:rPr>
      </w:pPr>
      <w:r w:rsidRPr="00E71D94">
        <w:rPr>
          <w:rFonts w:ascii="MyriadPro-Regular" w:hAnsi="MyriadPro-Regular" w:cs="MyriadPro-Regular"/>
          <w:b/>
          <w:color w:val="414142"/>
          <w:sz w:val="20"/>
          <w:szCs w:val="20"/>
        </w:rPr>
        <w:t>Prevención del delito.</w:t>
      </w:r>
    </w:p>
    <w:p w14:paraId="73D7FBE9" w14:textId="77777777" w:rsidR="000E466E" w:rsidRPr="00E71D94" w:rsidRDefault="000E466E" w:rsidP="00E71D94">
      <w:pPr>
        <w:numPr>
          <w:ilvl w:val="0"/>
          <w:numId w:val="1"/>
        </w:numPr>
        <w:spacing w:after="0"/>
        <w:contextualSpacing/>
        <w:jc w:val="both"/>
        <w:rPr>
          <w:rFonts w:ascii="MyriadPro-Regular" w:hAnsi="MyriadPro-Regular" w:cs="MyriadPro-Regular"/>
          <w:b/>
          <w:color w:val="414142"/>
          <w:sz w:val="20"/>
          <w:szCs w:val="20"/>
        </w:rPr>
      </w:pPr>
      <w:r w:rsidRPr="00E71D94">
        <w:rPr>
          <w:rFonts w:ascii="MyriadPro-Regular" w:hAnsi="MyriadPro-Regular" w:cs="MyriadPro-Regular"/>
          <w:b/>
          <w:color w:val="414142"/>
          <w:sz w:val="20"/>
          <w:szCs w:val="20"/>
        </w:rPr>
        <w:t>Desarrollo económico, inversión y empleo digno.</w:t>
      </w:r>
    </w:p>
    <w:p w14:paraId="3FE8210A" w14:textId="77777777" w:rsidR="000E466E" w:rsidRPr="00E71D94" w:rsidRDefault="000E466E" w:rsidP="00E71D94">
      <w:pPr>
        <w:numPr>
          <w:ilvl w:val="0"/>
          <w:numId w:val="1"/>
        </w:numPr>
        <w:spacing w:after="0"/>
        <w:contextualSpacing/>
        <w:jc w:val="both"/>
        <w:rPr>
          <w:rFonts w:ascii="MyriadPro-Regular" w:hAnsi="MyriadPro-Regular" w:cs="MyriadPro-Regular"/>
          <w:b/>
          <w:color w:val="414142"/>
          <w:sz w:val="20"/>
          <w:szCs w:val="20"/>
        </w:rPr>
      </w:pPr>
      <w:r w:rsidRPr="00E71D94">
        <w:rPr>
          <w:rFonts w:ascii="MyriadPro-Regular" w:hAnsi="MyriadPro-Regular" w:cs="MyriadPro-Regular"/>
          <w:b/>
          <w:color w:val="414142"/>
          <w:sz w:val="20"/>
          <w:szCs w:val="20"/>
        </w:rPr>
        <w:t>Cubrir las necesidades básicas y promover la inclusión y acceso de los más necesitados.</w:t>
      </w:r>
    </w:p>
    <w:p w14:paraId="47485F2A" w14:textId="77777777" w:rsidR="000E466E" w:rsidRPr="00E71D94" w:rsidRDefault="000E466E" w:rsidP="00E71D94">
      <w:pPr>
        <w:numPr>
          <w:ilvl w:val="0"/>
          <w:numId w:val="1"/>
        </w:numPr>
        <w:spacing w:after="0"/>
        <w:contextualSpacing/>
        <w:jc w:val="both"/>
        <w:rPr>
          <w:rFonts w:ascii="MyriadPro-Regular" w:hAnsi="MyriadPro-Regular" w:cs="MyriadPro-Regular"/>
          <w:b/>
          <w:color w:val="414142"/>
          <w:sz w:val="20"/>
          <w:szCs w:val="20"/>
        </w:rPr>
      </w:pPr>
      <w:r w:rsidRPr="00E71D94">
        <w:rPr>
          <w:rFonts w:ascii="MyriadPro-Regular" w:hAnsi="MyriadPro-Regular" w:cs="MyriadPro-Regular"/>
          <w:b/>
          <w:color w:val="414142"/>
          <w:sz w:val="20"/>
          <w:szCs w:val="20"/>
        </w:rPr>
        <w:t>Innovación, productividad y competitividad.</w:t>
      </w:r>
    </w:p>
    <w:p w14:paraId="3E77A2A1" w14:textId="77777777" w:rsidR="000E466E" w:rsidRPr="00E71D94" w:rsidRDefault="000E466E" w:rsidP="00E71D94">
      <w:pPr>
        <w:numPr>
          <w:ilvl w:val="0"/>
          <w:numId w:val="1"/>
        </w:numPr>
        <w:spacing w:after="0"/>
        <w:contextualSpacing/>
        <w:jc w:val="both"/>
        <w:rPr>
          <w:rFonts w:ascii="MyriadPro-Regular" w:hAnsi="MyriadPro-Regular" w:cs="MyriadPro-Regular"/>
          <w:b/>
          <w:color w:val="414142"/>
          <w:sz w:val="20"/>
          <w:szCs w:val="20"/>
        </w:rPr>
      </w:pPr>
      <w:r w:rsidRPr="00E71D94">
        <w:rPr>
          <w:rFonts w:ascii="MyriadPro-Regular" w:hAnsi="MyriadPro-Regular" w:cs="MyriadPro-Regular"/>
          <w:b/>
          <w:color w:val="414142"/>
          <w:sz w:val="20"/>
          <w:szCs w:val="20"/>
        </w:rPr>
        <w:t>Sustentabilidad ambiental, resiliencia y prosperidad urbana.</w:t>
      </w:r>
    </w:p>
    <w:p w14:paraId="0EA6C233" w14:textId="77777777" w:rsidR="000E466E" w:rsidRPr="00E71D94" w:rsidRDefault="000E466E" w:rsidP="00E71D94">
      <w:pPr>
        <w:numPr>
          <w:ilvl w:val="0"/>
          <w:numId w:val="1"/>
        </w:numPr>
        <w:spacing w:after="0"/>
        <w:contextualSpacing/>
        <w:jc w:val="both"/>
        <w:rPr>
          <w:rFonts w:ascii="MyriadPro-Regular" w:hAnsi="MyriadPro-Regular" w:cs="MyriadPro-Regular"/>
          <w:b/>
          <w:color w:val="414142"/>
          <w:sz w:val="20"/>
          <w:szCs w:val="20"/>
        </w:rPr>
      </w:pPr>
      <w:r w:rsidRPr="00E71D94">
        <w:rPr>
          <w:rFonts w:ascii="MyriadPro-Regular" w:hAnsi="MyriadPro-Regular" w:cs="MyriadPro-Regular"/>
          <w:b/>
          <w:color w:val="414142"/>
          <w:sz w:val="20"/>
          <w:szCs w:val="20"/>
        </w:rPr>
        <w:t>Cohesión social e igualdad sustantiva.</w:t>
      </w:r>
    </w:p>
    <w:p w14:paraId="2E74CB7C" w14:textId="77777777" w:rsidR="000E466E" w:rsidRPr="00E71D94" w:rsidRDefault="000E466E" w:rsidP="00E71D94">
      <w:pPr>
        <w:numPr>
          <w:ilvl w:val="0"/>
          <w:numId w:val="1"/>
        </w:numPr>
        <w:spacing w:after="0"/>
        <w:contextualSpacing/>
        <w:jc w:val="both"/>
        <w:rPr>
          <w:rFonts w:ascii="MyriadPro-Regular" w:hAnsi="MyriadPro-Regular" w:cs="MyriadPro-Regular"/>
          <w:b/>
          <w:color w:val="414142"/>
          <w:sz w:val="20"/>
          <w:szCs w:val="20"/>
        </w:rPr>
      </w:pPr>
      <w:r w:rsidRPr="00E71D94">
        <w:rPr>
          <w:rFonts w:ascii="MyriadPro-Regular" w:hAnsi="MyriadPro-Regular" w:cs="MyriadPro-Regular"/>
          <w:b/>
          <w:color w:val="414142"/>
          <w:sz w:val="20"/>
          <w:szCs w:val="20"/>
        </w:rPr>
        <w:t>Rendición de cuentas, transparencia y gobierno digital.</w:t>
      </w:r>
    </w:p>
    <w:p w14:paraId="51AF2D49" w14:textId="77777777" w:rsidR="000E466E" w:rsidRPr="000552F5" w:rsidRDefault="000E466E" w:rsidP="00333D80">
      <w:pPr>
        <w:spacing w:after="240" w:line="240" w:lineRule="auto"/>
        <w:jc w:val="both"/>
        <w:rPr>
          <w:rFonts w:ascii="MyriadPro-Regular" w:hAnsi="MyriadPro-Regular" w:cs="MyriadPro-Regular"/>
          <w:color w:val="414142"/>
          <w:sz w:val="20"/>
          <w:szCs w:val="20"/>
        </w:rPr>
      </w:pPr>
    </w:p>
    <w:p w14:paraId="4869302C" w14:textId="77777777" w:rsidR="000E466E" w:rsidRPr="000552F5" w:rsidRDefault="000E466E" w:rsidP="00333D80">
      <w:pPr>
        <w:spacing w:after="240" w:line="240" w:lineRule="auto"/>
        <w:jc w:val="both"/>
        <w:rPr>
          <w:rFonts w:ascii="MyriadPro-Regular" w:hAnsi="MyriadPro-Regular" w:cs="MyriadPro-Regular"/>
          <w:color w:val="414142"/>
          <w:sz w:val="20"/>
          <w:szCs w:val="20"/>
        </w:rPr>
      </w:pPr>
      <w:r w:rsidRPr="000552F5">
        <w:rPr>
          <w:rFonts w:ascii="MyriadPro-Regular" w:hAnsi="MyriadPro-Regular" w:cs="MyriadPro-Regular"/>
          <w:color w:val="414142"/>
          <w:sz w:val="20"/>
          <w:szCs w:val="20"/>
        </w:rPr>
        <w:t>De esta manera, el Plan de Desarrollo Integral del Estado de Michoacán 2015-2021 se sustenta en 3 Ejes de Gobernanza: Educación con Calidad, Finanzas Sanas y Seguridad Pública. Además plantea objetivos concretos medibles y alcanzables, mismos que serán evaluados a través de indicadores que permitirán dar rumbo y seguimiento a los resultados.</w:t>
      </w:r>
    </w:p>
    <w:p w14:paraId="0669DBFC" w14:textId="77777777" w:rsidR="00C739E3" w:rsidRDefault="00C739E3" w:rsidP="000E466E">
      <w:pPr>
        <w:spacing w:after="240"/>
        <w:jc w:val="both"/>
        <w:rPr>
          <w:rFonts w:ascii="GalanoGrotesque-Medium" w:eastAsia="Times New Roman" w:hAnsi="GalanoGrotesque-Medium" w:cs="Arial"/>
          <w:sz w:val="24"/>
          <w:szCs w:val="24"/>
          <w:lang w:val="es-ES" w:eastAsia="es-ES"/>
        </w:rPr>
      </w:pPr>
      <w:r>
        <w:rPr>
          <w:rFonts w:ascii="GalanoGrotesque-Medium" w:eastAsia="Times New Roman" w:hAnsi="GalanoGrotesque-Medium" w:cs="Arial"/>
          <w:sz w:val="24"/>
          <w:szCs w:val="24"/>
          <w:lang w:val="es-ES" w:eastAsia="es-ES"/>
        </w:rPr>
        <w:br w:type="page"/>
      </w:r>
    </w:p>
    <w:p w14:paraId="2628F76A" w14:textId="77777777" w:rsidR="00C739E3" w:rsidRPr="001E7327" w:rsidRDefault="002558E3" w:rsidP="00C739E3">
      <w:pPr>
        <w:pStyle w:val="Ttulo1"/>
        <w:spacing w:line="276" w:lineRule="auto"/>
        <w:jc w:val="both"/>
        <w:rPr>
          <w:rFonts w:ascii="GalanoGrotesque-Medium" w:hAnsi="GalanoGrotesque-Medium"/>
        </w:rPr>
      </w:pPr>
      <w:bookmarkStart w:id="3" w:name="_Toc458015631"/>
      <w:r>
        <w:lastRenderedPageBreak/>
        <w:pict w14:anchorId="430627AF">
          <v:shape id="Imagen 6" o:spid="_x0000_i1026" type="#_x0000_t75" style="width:27pt;height:12.75pt;visibility:visible">
            <v:imagedata r:id="rId17" o:title=""/>
          </v:shape>
        </w:pict>
      </w:r>
      <w:bookmarkStart w:id="4" w:name="_Toc455045706"/>
      <w:r w:rsidR="007F3972">
        <w:rPr>
          <w:rFonts w:ascii="GalanoGrotesque-Black" w:hAnsi="GalanoGrotesque-Black" w:cs="GalanoGrotesque-Black"/>
          <w:color w:val="414142"/>
        </w:rPr>
        <w:t>Misión, visión y valores</w:t>
      </w:r>
      <w:bookmarkEnd w:id="3"/>
      <w:bookmarkEnd w:id="4"/>
    </w:p>
    <w:p w14:paraId="0CA85F13" w14:textId="77777777" w:rsidR="007F3972" w:rsidRDefault="004C5E0A" w:rsidP="00204156">
      <w:pPr>
        <w:spacing w:after="160" w:line="240" w:lineRule="auto"/>
        <w:jc w:val="both"/>
        <w:rPr>
          <w:rFonts w:ascii="MyriadPro-Bold" w:hAnsi="MyriadPro-Bold" w:cs="MyriadPro-Bold"/>
          <w:b/>
          <w:bCs/>
          <w:color w:val="414142"/>
          <w:sz w:val="24"/>
          <w:szCs w:val="24"/>
        </w:rPr>
      </w:pPr>
      <w:r w:rsidRPr="004C5E0A">
        <w:rPr>
          <w:rFonts w:ascii="MyriadPro-Bold" w:hAnsi="MyriadPro-Bold" w:cs="MyriadPro-Bold"/>
          <w:b/>
          <w:bCs/>
          <w:noProof/>
          <w:color w:val="414142"/>
          <w:sz w:val="24"/>
          <w:szCs w:val="24"/>
          <w:lang w:val="es-ES" w:eastAsia="es-ES"/>
        </w:rPr>
        <w:drawing>
          <wp:inline distT="0" distB="0" distL="0" distR="0" wp14:anchorId="5E2D2BD4" wp14:editId="05F75A42">
            <wp:extent cx="164149" cy="119462"/>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945" cy="144057"/>
                    </a:xfrm>
                    <a:prstGeom prst="rect">
                      <a:avLst/>
                    </a:prstGeom>
                    <a:noFill/>
                    <a:ln>
                      <a:noFill/>
                    </a:ln>
                  </pic:spPr>
                </pic:pic>
              </a:graphicData>
            </a:graphic>
          </wp:inline>
        </w:drawing>
      </w:r>
      <w:r w:rsidR="007F3972">
        <w:rPr>
          <w:rFonts w:ascii="MyriadPro-Bold" w:hAnsi="MyriadPro-Bold" w:cs="MyriadPro-Bold"/>
          <w:b/>
          <w:bCs/>
          <w:color w:val="414142"/>
          <w:sz w:val="24"/>
          <w:szCs w:val="24"/>
        </w:rPr>
        <w:t>Misión</w:t>
      </w:r>
    </w:p>
    <w:p w14:paraId="32540CE8" w14:textId="77777777" w:rsidR="00C739E3" w:rsidRPr="007F3972" w:rsidRDefault="00C739E3" w:rsidP="00204156">
      <w:pPr>
        <w:spacing w:line="240" w:lineRule="auto"/>
        <w:jc w:val="both"/>
        <w:rPr>
          <w:rFonts w:ascii="MyriadPro-Regular" w:hAnsi="MyriadPro-Regular" w:cs="MyriadPro-Regular"/>
          <w:color w:val="414142"/>
          <w:sz w:val="20"/>
          <w:szCs w:val="20"/>
        </w:rPr>
      </w:pPr>
      <w:r w:rsidRPr="007F3972">
        <w:rPr>
          <w:rFonts w:ascii="MyriadPro-Regular" w:hAnsi="MyriadPro-Regular" w:cs="MyriadPro-Regular"/>
          <w:color w:val="414142"/>
          <w:sz w:val="20"/>
          <w:szCs w:val="20"/>
        </w:rPr>
        <w:t>Trabajar con principios y valores para generar estabilidad, recuperar la confianza de los michoacanos en el gobierno, fomentar el sentido de colaboración, orgullo y pertenencia, y que las familias michoacanas participen en la reconstrucción del Estado y se sientan</w:t>
      </w:r>
      <w:r w:rsidR="007F3972">
        <w:rPr>
          <w:rFonts w:ascii="MyriadPro-Regular" w:hAnsi="MyriadPro-Regular" w:cs="MyriadPro-Regular"/>
          <w:color w:val="414142"/>
          <w:sz w:val="20"/>
          <w:szCs w:val="20"/>
        </w:rPr>
        <w:t xml:space="preserve"> felices de vivir en Michoacán.</w:t>
      </w:r>
    </w:p>
    <w:p w14:paraId="5D7FF22D" w14:textId="77777777" w:rsidR="00C739E3" w:rsidRPr="00850AA8" w:rsidRDefault="00C739E3" w:rsidP="00204156">
      <w:pPr>
        <w:pStyle w:val="Prrafodelista"/>
        <w:numPr>
          <w:ilvl w:val="0"/>
          <w:numId w:val="9"/>
        </w:numPr>
        <w:spacing w:after="160"/>
        <w:jc w:val="both"/>
        <w:rPr>
          <w:rFonts w:ascii="MyriadPro-Bold" w:hAnsi="MyriadPro-Bold" w:cs="MyriadPro-Bold"/>
          <w:b/>
          <w:bCs/>
          <w:color w:val="414142"/>
        </w:rPr>
      </w:pPr>
      <w:r w:rsidRPr="00850AA8">
        <w:rPr>
          <w:rFonts w:ascii="MyriadPro-Bold" w:hAnsi="MyriadPro-Bold" w:cs="MyriadPro-Bold"/>
          <w:b/>
          <w:bCs/>
          <w:color w:val="414142"/>
        </w:rPr>
        <w:t xml:space="preserve">Visión 2030 </w:t>
      </w:r>
    </w:p>
    <w:p w14:paraId="107A96A5" w14:textId="77777777" w:rsidR="00C739E3" w:rsidRPr="007F3972" w:rsidRDefault="00C739E3" w:rsidP="00204156">
      <w:pPr>
        <w:spacing w:after="160" w:line="240" w:lineRule="auto"/>
        <w:jc w:val="both"/>
        <w:rPr>
          <w:rFonts w:ascii="MyriadPro-Regular" w:hAnsi="MyriadPro-Regular" w:cs="MyriadPro-Regular"/>
          <w:color w:val="414142"/>
          <w:sz w:val="20"/>
          <w:szCs w:val="20"/>
        </w:rPr>
      </w:pPr>
      <w:r w:rsidRPr="007F3972">
        <w:rPr>
          <w:rFonts w:ascii="MyriadPro-Regular" w:hAnsi="MyriadPro-Regular" w:cs="MyriadPro-Regular"/>
          <w:color w:val="414142"/>
          <w:sz w:val="20"/>
          <w:szCs w:val="20"/>
        </w:rPr>
        <w:t>Michoacán cuenta con un rostro diferente, seguro, estable, con desarrollo integral; con una condición, proyección y percepción positiva del Estado; y mejores condiciones de vida para su gente.</w:t>
      </w:r>
    </w:p>
    <w:p w14:paraId="49F1F9CE" w14:textId="77777777" w:rsidR="00C739E3" w:rsidRPr="00850AA8" w:rsidRDefault="00C739E3" w:rsidP="00204156">
      <w:pPr>
        <w:pStyle w:val="Prrafodelista"/>
        <w:numPr>
          <w:ilvl w:val="0"/>
          <w:numId w:val="10"/>
        </w:numPr>
        <w:spacing w:after="160"/>
        <w:jc w:val="both"/>
        <w:rPr>
          <w:rFonts w:ascii="MyriadPro-Bold" w:hAnsi="MyriadPro-Bold" w:cs="MyriadPro-Bold"/>
          <w:b/>
          <w:bCs/>
          <w:color w:val="414142"/>
        </w:rPr>
      </w:pPr>
      <w:r w:rsidRPr="00850AA8">
        <w:rPr>
          <w:rFonts w:ascii="MyriadPro-Bold" w:hAnsi="MyriadPro-Bold" w:cs="MyriadPro-Bold"/>
          <w:b/>
          <w:bCs/>
          <w:color w:val="414142"/>
        </w:rPr>
        <w:t xml:space="preserve">Valores </w:t>
      </w:r>
    </w:p>
    <w:p w14:paraId="630920B6" w14:textId="77777777" w:rsidR="00C739E3" w:rsidRPr="001E7327" w:rsidRDefault="00C739E3" w:rsidP="00204156">
      <w:pPr>
        <w:spacing w:after="160" w:line="240" w:lineRule="auto"/>
        <w:jc w:val="both"/>
        <w:rPr>
          <w:rFonts w:ascii="GalanoGrotesque-Medium" w:hAnsi="GalanoGrotesque-Medium" w:cs="Arial"/>
        </w:rPr>
      </w:pPr>
      <w:r w:rsidRPr="007F3972">
        <w:rPr>
          <w:rFonts w:ascii="MyriadPro-Regular" w:hAnsi="MyriadPro-Regular" w:cs="MyriadPro-Regular"/>
          <w:color w:val="414142"/>
          <w:sz w:val="20"/>
          <w:szCs w:val="20"/>
        </w:rPr>
        <w:t>La acción pública del Gobierno de Michoacán se sostiene sobre seis pilares fuertemente cimentados, gobernar con base en estos seis valores significa transitar sobre dos vías, la garantía del respeto y goce de derechos humanos, y una cultura de paz; ambos caminos conducen al fin supremo de esta Administración, que es lograr el bienestar de la población michoacana (Figura 1).</w:t>
      </w:r>
    </w:p>
    <w:p w14:paraId="7038CDE4" w14:textId="77777777" w:rsidR="00C739E3" w:rsidRPr="007F3972" w:rsidRDefault="00C739E3" w:rsidP="00204156">
      <w:pPr>
        <w:spacing w:after="160" w:line="240" w:lineRule="auto"/>
        <w:jc w:val="both"/>
        <w:rPr>
          <w:rFonts w:ascii="MyriadPro-Regular" w:hAnsi="MyriadPro-Regular" w:cs="MyriadPro-Regular"/>
          <w:color w:val="414142"/>
          <w:sz w:val="20"/>
          <w:szCs w:val="20"/>
        </w:rPr>
      </w:pPr>
      <w:r w:rsidRPr="007F3972">
        <w:rPr>
          <w:rFonts w:ascii="MyriadPro-Regular" w:hAnsi="MyriadPro-Regular" w:cs="MyriadPro-Regular"/>
          <w:color w:val="414142"/>
          <w:sz w:val="20"/>
          <w:szCs w:val="20"/>
        </w:rPr>
        <w:t xml:space="preserve">Sin embargo, estos pilares no pueden sostener solos a la Administración, su solidez se alcanza en el esfuerzo conjunto con la sociedad michoacana. </w:t>
      </w:r>
    </w:p>
    <w:p w14:paraId="4E3F939F" w14:textId="77777777" w:rsidR="00C739E3" w:rsidRPr="007F3972" w:rsidRDefault="00C739E3" w:rsidP="00204156">
      <w:pPr>
        <w:spacing w:after="160" w:line="240" w:lineRule="auto"/>
        <w:jc w:val="both"/>
        <w:rPr>
          <w:rFonts w:ascii="MyriadPro-Regular" w:hAnsi="MyriadPro-Regular" w:cs="MyriadPro-Regular"/>
          <w:color w:val="414142"/>
          <w:sz w:val="20"/>
          <w:szCs w:val="20"/>
        </w:rPr>
      </w:pPr>
      <w:r w:rsidRPr="007F3972">
        <w:rPr>
          <w:rFonts w:ascii="MyriadPro-Regular" w:hAnsi="MyriadPro-Regular" w:cs="MyriadPro-Regular"/>
          <w:color w:val="414142"/>
          <w:sz w:val="20"/>
          <w:szCs w:val="20"/>
        </w:rPr>
        <w:t xml:space="preserve">La </w:t>
      </w:r>
      <w:r w:rsidRPr="007F3972">
        <w:rPr>
          <w:rFonts w:ascii="MyriadPro-Regular" w:hAnsi="MyriadPro-Regular" w:cs="MyriadPro-Regular"/>
          <w:b/>
          <w:color w:val="414142"/>
          <w:sz w:val="20"/>
          <w:szCs w:val="20"/>
        </w:rPr>
        <w:t>TOLERANCIA</w:t>
      </w:r>
      <w:r w:rsidRPr="007F3972">
        <w:rPr>
          <w:rFonts w:ascii="MyriadPro-Regular" w:hAnsi="MyriadPro-Regular" w:cs="MyriadPro-Regular"/>
          <w:color w:val="414142"/>
          <w:sz w:val="20"/>
          <w:szCs w:val="20"/>
        </w:rPr>
        <w:t xml:space="preserve"> implica construir desde el gobierno un diálogo permanente para la solución de conflictos y demandas ciudadanas; desde la sociedad, significa  respetar el derecho del otro al tiempo que se honra el derecho propio. Tolerancia entraña darle valor a lo diverso. </w:t>
      </w:r>
    </w:p>
    <w:p w14:paraId="780F14E6" w14:textId="77777777" w:rsidR="00C739E3" w:rsidRPr="007F3972" w:rsidRDefault="00C739E3" w:rsidP="00204156">
      <w:pPr>
        <w:spacing w:after="160" w:line="240" w:lineRule="auto"/>
        <w:jc w:val="both"/>
        <w:rPr>
          <w:rFonts w:ascii="MyriadPro-Regular" w:hAnsi="MyriadPro-Regular" w:cs="MyriadPro-Regular"/>
          <w:color w:val="414142"/>
          <w:sz w:val="20"/>
          <w:szCs w:val="20"/>
        </w:rPr>
      </w:pPr>
      <w:r w:rsidRPr="007F3972">
        <w:rPr>
          <w:rFonts w:ascii="MyriadPro-Regular" w:hAnsi="MyriadPro-Regular" w:cs="MyriadPro-Regular"/>
          <w:color w:val="414142"/>
          <w:sz w:val="20"/>
          <w:szCs w:val="20"/>
        </w:rPr>
        <w:t xml:space="preserve">En la medida en que preciemos la tolerancia como gobierno y sociedad, la </w:t>
      </w:r>
      <w:r w:rsidRPr="007F3972">
        <w:rPr>
          <w:rFonts w:ascii="MyriadPro-Regular" w:hAnsi="MyriadPro-Regular" w:cs="MyriadPro-Regular"/>
          <w:b/>
          <w:color w:val="414142"/>
          <w:sz w:val="20"/>
          <w:szCs w:val="20"/>
        </w:rPr>
        <w:t>SOLIDARIDAD</w:t>
      </w:r>
      <w:r w:rsidRPr="007F3972">
        <w:rPr>
          <w:rFonts w:ascii="MyriadPro-Regular" w:hAnsi="MyriadPro-Regular" w:cs="MyriadPro-Regular"/>
          <w:color w:val="414142"/>
          <w:sz w:val="20"/>
          <w:szCs w:val="20"/>
        </w:rPr>
        <w:t xml:space="preserve"> será adoptada como una de las alternativas a privilegiar para lograr el desarrollo social y humano, pues entenderemos que el avance en nuestro Estado se alcanza en el momento que nos acercamos a la equidad, y tendrá que buscar mejorar la condición de los más vulnerables con el auxilio de los más favorecidos. </w:t>
      </w:r>
    </w:p>
    <w:p w14:paraId="55E11380" w14:textId="77777777" w:rsidR="00C739E3" w:rsidRPr="007F3972" w:rsidRDefault="00C739E3" w:rsidP="00204156">
      <w:pPr>
        <w:spacing w:after="160" w:line="240" w:lineRule="auto"/>
        <w:jc w:val="both"/>
        <w:rPr>
          <w:rFonts w:ascii="MyriadPro-Regular" w:hAnsi="MyriadPro-Regular" w:cs="MyriadPro-Regular"/>
          <w:color w:val="414142"/>
          <w:sz w:val="20"/>
          <w:szCs w:val="20"/>
        </w:rPr>
      </w:pPr>
      <w:r w:rsidRPr="007F3972">
        <w:rPr>
          <w:rFonts w:ascii="MyriadPro-Regular" w:hAnsi="MyriadPro-Regular" w:cs="MyriadPro-Regular"/>
          <w:color w:val="414142"/>
          <w:sz w:val="20"/>
          <w:szCs w:val="20"/>
        </w:rPr>
        <w:t xml:space="preserve">Es menester que este desarrollo social y humano sea permanente y asequible en el tiempo, lo que se conseguirá guiándose con los principios de la </w:t>
      </w:r>
      <w:r w:rsidRPr="007B4312">
        <w:rPr>
          <w:rFonts w:ascii="MyriadPro-Regular" w:hAnsi="MyriadPro-Regular" w:cs="MyriadPro-Regular"/>
          <w:b/>
          <w:color w:val="414142"/>
          <w:sz w:val="20"/>
          <w:szCs w:val="20"/>
        </w:rPr>
        <w:t>SUSTENTABILIDAD</w:t>
      </w:r>
      <w:r w:rsidRPr="007F3972">
        <w:rPr>
          <w:rFonts w:ascii="MyriadPro-Regular" w:hAnsi="MyriadPro-Regular" w:cs="MyriadPro-Regular"/>
          <w:color w:val="414142"/>
          <w:sz w:val="20"/>
          <w:szCs w:val="20"/>
        </w:rPr>
        <w:t xml:space="preserve">. La bondad geográfica y </w:t>
      </w:r>
      <w:r w:rsidRPr="007F3972">
        <w:rPr>
          <w:rFonts w:ascii="MyriadPro-Regular" w:hAnsi="MyriadPro-Regular" w:cs="MyriadPro-Regular"/>
          <w:color w:val="414142"/>
          <w:sz w:val="20"/>
          <w:szCs w:val="20"/>
        </w:rPr>
        <w:lastRenderedPageBreak/>
        <w:t xml:space="preserve">natural del Estado obliga a aprovechar los recursos con responsabilidad presente y futura, tanto en los procesos de transformación como en los de consumo. </w:t>
      </w:r>
    </w:p>
    <w:p w14:paraId="36B5F33C" w14:textId="77777777" w:rsidR="00C739E3" w:rsidRPr="007F3972" w:rsidRDefault="00C739E3" w:rsidP="00204156">
      <w:pPr>
        <w:spacing w:after="160" w:line="240" w:lineRule="auto"/>
        <w:jc w:val="both"/>
        <w:rPr>
          <w:rFonts w:ascii="MyriadPro-Regular" w:hAnsi="MyriadPro-Regular" w:cs="MyriadPro-Regular"/>
          <w:color w:val="414142"/>
          <w:sz w:val="20"/>
          <w:szCs w:val="20"/>
        </w:rPr>
      </w:pPr>
      <w:r w:rsidRPr="007F3972">
        <w:rPr>
          <w:rFonts w:ascii="MyriadPro-Regular" w:hAnsi="MyriadPro-Regular" w:cs="MyriadPro-Regular"/>
          <w:color w:val="414142"/>
          <w:sz w:val="20"/>
          <w:szCs w:val="20"/>
        </w:rPr>
        <w:t xml:space="preserve">La </w:t>
      </w:r>
      <w:r w:rsidRPr="007F3972">
        <w:rPr>
          <w:rFonts w:ascii="MyriadPro-Regular" w:hAnsi="MyriadPro-Regular" w:cs="MyriadPro-Regular"/>
          <w:b/>
          <w:color w:val="414142"/>
          <w:sz w:val="20"/>
          <w:szCs w:val="20"/>
        </w:rPr>
        <w:t>RESPONSABILIDAD</w:t>
      </w:r>
      <w:r w:rsidRPr="007F3972">
        <w:rPr>
          <w:rFonts w:ascii="MyriadPro-Regular" w:hAnsi="MyriadPro-Regular" w:cs="MyriadPro-Regular"/>
          <w:color w:val="414142"/>
          <w:sz w:val="20"/>
          <w:szCs w:val="20"/>
        </w:rPr>
        <w:t xml:space="preserve"> habrá de conducir las decisiones del Gobierno  y sociedad michoacanas. Lo anterior implica establecer una línea directa entre este valor, y la transparencia y rendición de cuentas, que ponga en evidencia el propósito de lograr el bienestar fundamentado en la</w:t>
      </w:r>
      <w:r w:rsidRPr="001E7327">
        <w:rPr>
          <w:rFonts w:ascii="GalanoGrotesque-Medium" w:hAnsi="GalanoGrotesque-Medium" w:cs="Arial"/>
        </w:rPr>
        <w:t xml:space="preserve"> </w:t>
      </w:r>
      <w:r w:rsidRPr="007B4312">
        <w:rPr>
          <w:rFonts w:ascii="MyriadPro-Regular" w:hAnsi="MyriadPro-Regular" w:cs="MyriadPro-Regular"/>
          <w:b/>
          <w:color w:val="414142"/>
          <w:sz w:val="20"/>
          <w:szCs w:val="20"/>
        </w:rPr>
        <w:t>HONESTIDAD</w:t>
      </w:r>
      <w:r w:rsidRPr="007F3972">
        <w:rPr>
          <w:rFonts w:ascii="MyriadPro-Regular" w:hAnsi="MyriadPro-Regular" w:cs="MyriadPro-Regular"/>
          <w:color w:val="414142"/>
          <w:sz w:val="20"/>
          <w:szCs w:val="20"/>
        </w:rPr>
        <w:t>, lo que representa que las decisiones estén dirigidas a proteger el interés público sobre el individual.</w:t>
      </w:r>
    </w:p>
    <w:p w14:paraId="7D41278D" w14:textId="77777777" w:rsidR="00C739E3" w:rsidRPr="007F3972" w:rsidRDefault="00C739E3" w:rsidP="00204156">
      <w:pPr>
        <w:spacing w:after="160" w:line="240" w:lineRule="auto"/>
        <w:jc w:val="both"/>
        <w:rPr>
          <w:rFonts w:ascii="MyriadPro-Regular" w:hAnsi="MyriadPro-Regular" w:cs="MyriadPro-Regular"/>
          <w:color w:val="414142"/>
          <w:sz w:val="20"/>
          <w:szCs w:val="20"/>
        </w:rPr>
      </w:pPr>
      <w:r w:rsidRPr="007F3972">
        <w:rPr>
          <w:rFonts w:ascii="MyriadPro-Regular" w:hAnsi="MyriadPro-Regular" w:cs="MyriadPro-Regular"/>
          <w:color w:val="414142"/>
          <w:sz w:val="20"/>
          <w:szCs w:val="20"/>
        </w:rPr>
        <w:t xml:space="preserve">Todos y cada uno de estos valores encuentran su cumplimiento en la </w:t>
      </w:r>
      <w:r w:rsidRPr="007B4312">
        <w:rPr>
          <w:rFonts w:ascii="MyriadPro-Regular" w:hAnsi="MyriadPro-Regular" w:cs="MyriadPro-Regular"/>
          <w:b/>
          <w:color w:val="414142"/>
          <w:sz w:val="20"/>
          <w:szCs w:val="20"/>
        </w:rPr>
        <w:t>LEGALIDAD</w:t>
      </w:r>
      <w:r w:rsidRPr="007F3972">
        <w:rPr>
          <w:rFonts w:ascii="MyriadPro-Regular" w:hAnsi="MyriadPro-Regular" w:cs="MyriadPro-Regular"/>
          <w:color w:val="414142"/>
          <w:sz w:val="20"/>
          <w:szCs w:val="20"/>
        </w:rPr>
        <w:t>. Ninguno debe ser ambiguo en su aplicación, ya que el apego al estado de derecho concede la pauta para gobernar al amparo de leyes que garanticen a los ciudadanos el goce de sus derechos civiles, políticos, económicos y sociales.</w:t>
      </w:r>
    </w:p>
    <w:p w14:paraId="230A1E85" w14:textId="77777777" w:rsidR="007B4312" w:rsidRDefault="007B4312" w:rsidP="00933B38">
      <w:pPr>
        <w:autoSpaceDE w:val="0"/>
        <w:autoSpaceDN w:val="0"/>
        <w:adjustRightInd w:val="0"/>
        <w:spacing w:after="0" w:line="180" w:lineRule="exact"/>
        <w:jc w:val="center"/>
        <w:rPr>
          <w:rFonts w:ascii="GalanoGrotesque-Bold" w:hAnsi="GalanoGrotesque-Bold" w:cs="GalanoGrotesque-Bold"/>
          <w:b/>
          <w:bCs/>
          <w:color w:val="414142"/>
          <w:sz w:val="16"/>
          <w:szCs w:val="14"/>
        </w:rPr>
      </w:pPr>
    </w:p>
    <w:p w14:paraId="56419880" w14:textId="77777777" w:rsidR="007B4312" w:rsidRDefault="007B4312" w:rsidP="00933B38">
      <w:pPr>
        <w:autoSpaceDE w:val="0"/>
        <w:autoSpaceDN w:val="0"/>
        <w:adjustRightInd w:val="0"/>
        <w:spacing w:after="0" w:line="180" w:lineRule="exact"/>
        <w:jc w:val="center"/>
        <w:rPr>
          <w:rFonts w:ascii="GalanoGrotesque-Bold" w:hAnsi="GalanoGrotesque-Bold" w:cs="GalanoGrotesque-Bold"/>
          <w:b/>
          <w:bCs/>
          <w:color w:val="414142"/>
          <w:sz w:val="16"/>
          <w:szCs w:val="14"/>
        </w:rPr>
      </w:pPr>
    </w:p>
    <w:p w14:paraId="4797357F" w14:textId="77777777" w:rsidR="007F3972" w:rsidRPr="003876D6" w:rsidRDefault="007F3972" w:rsidP="00933B38">
      <w:pPr>
        <w:autoSpaceDE w:val="0"/>
        <w:autoSpaceDN w:val="0"/>
        <w:adjustRightInd w:val="0"/>
        <w:spacing w:after="0" w:line="180" w:lineRule="exact"/>
        <w:jc w:val="center"/>
        <w:rPr>
          <w:rFonts w:ascii="GalanoGrotesque-Bold" w:hAnsi="GalanoGrotesque-Bold" w:cs="GalanoGrotesque-Bold"/>
          <w:b/>
          <w:bCs/>
          <w:color w:val="414142"/>
          <w:sz w:val="16"/>
          <w:szCs w:val="14"/>
        </w:rPr>
      </w:pPr>
      <w:r w:rsidRPr="003876D6">
        <w:rPr>
          <w:rFonts w:ascii="GalanoGrotesque-Bold" w:hAnsi="GalanoGrotesque-Bold" w:cs="GalanoGrotesque-Bold"/>
          <w:b/>
          <w:bCs/>
          <w:color w:val="414142"/>
          <w:sz w:val="16"/>
          <w:szCs w:val="14"/>
        </w:rPr>
        <w:t>Figura 1</w:t>
      </w:r>
    </w:p>
    <w:p w14:paraId="0EEC2AEC" w14:textId="77777777" w:rsidR="007C60A7" w:rsidRDefault="007F3972" w:rsidP="00933B38">
      <w:pPr>
        <w:spacing w:after="0" w:line="180" w:lineRule="exact"/>
        <w:jc w:val="center"/>
        <w:rPr>
          <w:rFonts w:ascii="GalanoGrotesque-Medium" w:hAnsi="GalanoGrotesque-Medium" w:cs="GalanoGrotesque-Medium"/>
          <w:color w:val="414142"/>
          <w:sz w:val="16"/>
          <w:szCs w:val="14"/>
        </w:rPr>
      </w:pPr>
      <w:r w:rsidRPr="003876D6">
        <w:rPr>
          <w:rFonts w:ascii="GalanoGrotesque-Medium" w:hAnsi="GalanoGrotesque-Medium" w:cs="GalanoGrotesque-Medium"/>
          <w:color w:val="414142"/>
          <w:sz w:val="16"/>
          <w:szCs w:val="14"/>
        </w:rPr>
        <w:t>Valores del Gobierno de Michoacán</w:t>
      </w:r>
    </w:p>
    <w:p w14:paraId="7D0974B7" w14:textId="77777777" w:rsidR="005C76BD" w:rsidRDefault="005C76BD" w:rsidP="00933B38">
      <w:pPr>
        <w:spacing w:after="0" w:line="180" w:lineRule="exact"/>
        <w:jc w:val="center"/>
        <w:rPr>
          <w:rFonts w:ascii="GalanoGrotesque-Medium" w:hAnsi="GalanoGrotesque-Medium" w:cs="GalanoGrotesque-Medium"/>
          <w:color w:val="414142"/>
          <w:sz w:val="16"/>
          <w:szCs w:val="14"/>
        </w:rPr>
      </w:pPr>
    </w:p>
    <w:p w14:paraId="6ECF7CAD" w14:textId="77777777" w:rsidR="005C76BD" w:rsidRPr="003876D6" w:rsidRDefault="005C76BD" w:rsidP="00933B38">
      <w:pPr>
        <w:spacing w:after="0" w:line="180" w:lineRule="exact"/>
        <w:jc w:val="center"/>
        <w:rPr>
          <w:rFonts w:ascii="MyriadPro-Regular" w:hAnsi="MyriadPro-Regular" w:cs="MyriadPro-Regular"/>
          <w:color w:val="414142"/>
          <w:szCs w:val="20"/>
        </w:rPr>
      </w:pPr>
    </w:p>
    <w:p w14:paraId="153754C9" w14:textId="77777777" w:rsidR="007C60A7" w:rsidRPr="007C60A7" w:rsidRDefault="007C60A7" w:rsidP="007C60A7">
      <w:pPr>
        <w:rPr>
          <w:rFonts w:ascii="GalanoGrotesque-Medium" w:eastAsia="Times New Roman" w:hAnsi="GalanoGrotesque-Medium" w:cs="Arial"/>
          <w:sz w:val="16"/>
          <w:szCs w:val="16"/>
          <w:lang w:val="es-ES" w:eastAsia="es-ES"/>
        </w:rPr>
      </w:pPr>
      <w:r w:rsidRPr="007C60A7">
        <w:rPr>
          <w:rFonts w:ascii="GalanoGrotesque-Medium" w:eastAsia="Times New Roman" w:hAnsi="GalanoGrotesque-Medium" w:cs="Times New Roman"/>
          <w:noProof/>
          <w:sz w:val="24"/>
          <w:szCs w:val="24"/>
          <w:lang w:val="es-ES" w:eastAsia="es-ES"/>
        </w:rPr>
        <w:drawing>
          <wp:inline distT="0" distB="0" distL="0" distR="0" wp14:anchorId="7D4E3B36" wp14:editId="714CFB89">
            <wp:extent cx="3467390" cy="18002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70837" cy="1802015"/>
                    </a:xfrm>
                    <a:prstGeom prst="rect">
                      <a:avLst/>
                    </a:prstGeom>
                  </pic:spPr>
                </pic:pic>
              </a:graphicData>
            </a:graphic>
          </wp:inline>
        </w:drawing>
      </w:r>
    </w:p>
    <w:p w14:paraId="06BC6D94" w14:textId="77777777" w:rsidR="000E466E" w:rsidRPr="007F3972" w:rsidRDefault="007C60A7" w:rsidP="00933B38">
      <w:pPr>
        <w:spacing w:after="240" w:line="180" w:lineRule="exact"/>
        <w:jc w:val="center"/>
        <w:rPr>
          <w:rFonts w:ascii="GalanoGrotesque-Medium" w:hAnsi="GalanoGrotesque-Medium" w:cs="GalanoGrotesque-Medium"/>
          <w:color w:val="414142"/>
          <w:sz w:val="14"/>
          <w:szCs w:val="14"/>
        </w:rPr>
      </w:pPr>
      <w:r w:rsidRPr="007F3972">
        <w:rPr>
          <w:rFonts w:ascii="GalanoGrotesque-Medium" w:hAnsi="GalanoGrotesque-Medium" w:cs="GalanoGrotesque-Medium"/>
          <w:color w:val="414142"/>
          <w:sz w:val="14"/>
          <w:szCs w:val="14"/>
        </w:rPr>
        <w:t>Fuente: Elaboración propia, Coordinación General de Gabinete y Planeación del Gobierno de Michoacán.</w:t>
      </w:r>
    </w:p>
    <w:p w14:paraId="05C46FFB" w14:textId="77777777" w:rsidR="00FF4B40" w:rsidRDefault="00FF4B40">
      <w:pPr>
        <w:rPr>
          <w:rFonts w:ascii="GalanoGrotesque-Black" w:hAnsi="GalanoGrotesque-Black" w:cs="GalanoGrotesque-Black"/>
          <w:color w:val="414142"/>
          <w:sz w:val="32"/>
          <w:szCs w:val="32"/>
        </w:rPr>
      </w:pPr>
      <w:r>
        <w:rPr>
          <w:rFonts w:ascii="GalanoGrotesque-Black" w:hAnsi="GalanoGrotesque-Black" w:cs="GalanoGrotesque-Black"/>
          <w:color w:val="414142"/>
          <w:sz w:val="32"/>
          <w:szCs w:val="32"/>
        </w:rPr>
        <w:br w:type="page"/>
      </w:r>
    </w:p>
    <w:p w14:paraId="5C089FE9" w14:textId="77777777" w:rsidR="007B1707" w:rsidRPr="007B4312" w:rsidRDefault="00002FF0" w:rsidP="00293B5A">
      <w:pPr>
        <w:pStyle w:val="Prrafodelista"/>
        <w:numPr>
          <w:ilvl w:val="0"/>
          <w:numId w:val="11"/>
        </w:numPr>
        <w:spacing w:after="160"/>
        <w:jc w:val="both"/>
        <w:outlineLvl w:val="0"/>
        <w:rPr>
          <w:rFonts w:ascii="GalanoGrotesque-Medium" w:hAnsi="GalanoGrotesque-Medium" w:cs="Arial"/>
          <w:b/>
          <w:bCs/>
          <w:kern w:val="32"/>
          <w:sz w:val="32"/>
          <w:szCs w:val="32"/>
        </w:rPr>
      </w:pPr>
      <w:bookmarkStart w:id="5" w:name="_Toc458015632"/>
      <w:r w:rsidRPr="007B4312">
        <w:rPr>
          <w:rFonts w:ascii="GalanoGrotesque-Black" w:hAnsi="GalanoGrotesque-Black" w:cs="GalanoGrotesque-Black"/>
          <w:b/>
          <w:color w:val="414142"/>
          <w:sz w:val="32"/>
          <w:szCs w:val="32"/>
        </w:rPr>
        <w:lastRenderedPageBreak/>
        <w:t>Marco Jurídico</w:t>
      </w:r>
      <w:bookmarkEnd w:id="5"/>
    </w:p>
    <w:p w14:paraId="51EBA288" w14:textId="77777777" w:rsidR="007B1707" w:rsidRPr="00002FF0" w:rsidRDefault="007B1707" w:rsidP="00204156">
      <w:pPr>
        <w:spacing w:after="160" w:line="240" w:lineRule="auto"/>
        <w:jc w:val="both"/>
        <w:rPr>
          <w:rFonts w:ascii="MyriadPro-Regular" w:hAnsi="MyriadPro-Regular" w:cs="MyriadPro-Regular"/>
          <w:color w:val="414142"/>
          <w:sz w:val="20"/>
          <w:szCs w:val="20"/>
        </w:rPr>
      </w:pPr>
      <w:r w:rsidRPr="00002FF0">
        <w:rPr>
          <w:rFonts w:ascii="MyriadPro-Regular" w:hAnsi="MyriadPro-Regular" w:cs="MyriadPro-Regular"/>
          <w:color w:val="414142"/>
          <w:sz w:val="20"/>
          <w:szCs w:val="20"/>
        </w:rPr>
        <w:t xml:space="preserve">En el Sistema Jurídico Mexicano a nivel Federal, la Planeación para el Desarrollo se encuentra contemplada a partir de la </w:t>
      </w:r>
      <w:r w:rsidRPr="007B4312">
        <w:rPr>
          <w:rFonts w:ascii="MyriadPro-Regular" w:hAnsi="MyriadPro-Regular" w:cs="MyriadPro-Regular"/>
          <w:b/>
          <w:color w:val="414142"/>
          <w:sz w:val="20"/>
          <w:szCs w:val="20"/>
        </w:rPr>
        <w:t>CONSTITUCIÓN POLÍTICA DE LOS ESTADOS UNIDOS MEXICANOS</w:t>
      </w:r>
      <w:r w:rsidRPr="00002FF0">
        <w:rPr>
          <w:rFonts w:ascii="MyriadPro-Regular" w:hAnsi="MyriadPro-Regular" w:cs="MyriadPro-Regular"/>
          <w:color w:val="414142"/>
          <w:sz w:val="20"/>
          <w:szCs w:val="20"/>
        </w:rPr>
        <w:t xml:space="preserve">, la cual establece en su Artículo 26, apartado A, la obligación del Estado de organizar un sistema de planeación democrática del desarrollo nacional que imprima solidez, dinamismo, competitividad, permanencia y equidad al crecimiento de la economía para la independencia y la democratización política, social y cultural de la nación y garantiza que ésta será democrática y deliberativa. Mediante los mecanismos de participación que establezca la ley, recogerá las aspiraciones y demandas de la sociedad para incorporarlas al Plan Nacional de Desarrollo y sus programas. </w:t>
      </w:r>
    </w:p>
    <w:p w14:paraId="57C72308" w14:textId="77777777" w:rsidR="007B1707" w:rsidRPr="00002FF0" w:rsidRDefault="007B1707" w:rsidP="00204156">
      <w:pPr>
        <w:spacing w:after="160" w:line="240" w:lineRule="auto"/>
        <w:jc w:val="both"/>
        <w:rPr>
          <w:rFonts w:ascii="MyriadPro-Regular" w:hAnsi="MyriadPro-Regular" w:cs="MyriadPro-Regular"/>
          <w:color w:val="414142"/>
          <w:sz w:val="20"/>
          <w:szCs w:val="20"/>
        </w:rPr>
      </w:pPr>
      <w:r w:rsidRPr="00002FF0">
        <w:rPr>
          <w:rFonts w:ascii="MyriadPro-Regular" w:hAnsi="MyriadPro-Regular" w:cs="MyriadPro-Regular"/>
          <w:color w:val="414142"/>
          <w:sz w:val="20"/>
          <w:szCs w:val="20"/>
        </w:rPr>
        <w:t xml:space="preserve">De igual manera, la </w:t>
      </w:r>
      <w:r w:rsidRPr="007B4312">
        <w:rPr>
          <w:rFonts w:ascii="MyriadPro-Regular" w:hAnsi="MyriadPro-Regular" w:cs="MyriadPro-Regular"/>
          <w:b/>
          <w:color w:val="414142"/>
          <w:sz w:val="20"/>
          <w:szCs w:val="20"/>
        </w:rPr>
        <w:t>LEY DE PLANEACIÓN</w:t>
      </w:r>
      <w:r w:rsidRPr="00002FF0">
        <w:rPr>
          <w:rFonts w:ascii="MyriadPro-Regular" w:hAnsi="MyriadPro-Regular" w:cs="MyriadPro-Regular"/>
          <w:color w:val="414142"/>
          <w:sz w:val="20"/>
          <w:szCs w:val="20"/>
        </w:rPr>
        <w:t xml:space="preserve"> establece las bases para que el Ejecutivo Federal coordine sus actividades con las entidades federativas, conforme a la legislación aplicable, y que la planeación se lleve a cabo como un medio para el eficaz desempeño de la responsabilidad del Estado para lograr el desarrollo integral y sustentable del país, y deberá tender a la consecución de los fines y objetivos políticos, sociales, culturales y económicos contenidos en la Constitución Política de los Estados Unidos Mexicanos. </w:t>
      </w:r>
    </w:p>
    <w:p w14:paraId="0D97CBC4" w14:textId="77777777" w:rsidR="007B1707" w:rsidRPr="00002FF0" w:rsidRDefault="007B1707" w:rsidP="00204156">
      <w:pPr>
        <w:spacing w:after="160" w:line="240" w:lineRule="auto"/>
        <w:jc w:val="both"/>
        <w:rPr>
          <w:rFonts w:ascii="MyriadPro-Regular" w:hAnsi="MyriadPro-Regular" w:cs="MyriadPro-Regular"/>
          <w:color w:val="414142"/>
          <w:sz w:val="20"/>
          <w:szCs w:val="20"/>
        </w:rPr>
      </w:pPr>
      <w:r w:rsidRPr="00002FF0">
        <w:rPr>
          <w:rFonts w:ascii="MyriadPro-Regular" w:hAnsi="MyriadPro-Regular" w:cs="MyriadPro-Regular"/>
          <w:color w:val="414142"/>
          <w:sz w:val="20"/>
          <w:szCs w:val="20"/>
        </w:rPr>
        <w:t xml:space="preserve">Para el caso de nuestra entidad federativa, la </w:t>
      </w:r>
      <w:r w:rsidRPr="007B4312">
        <w:rPr>
          <w:rFonts w:ascii="MyriadPro-Regular" w:hAnsi="MyriadPro-Regular" w:cs="MyriadPro-Regular"/>
          <w:b/>
          <w:color w:val="414142"/>
          <w:sz w:val="20"/>
          <w:szCs w:val="20"/>
        </w:rPr>
        <w:t>CONSTITUCIÓN POLÍTICA DEL ESTADO LIBRE Y SOBERANO DE MICHOACÁN DE OCAMPO</w:t>
      </w:r>
      <w:r w:rsidRPr="00002FF0">
        <w:rPr>
          <w:rFonts w:ascii="MyriadPro-Regular" w:hAnsi="MyriadPro-Regular" w:cs="MyriadPro-Regular"/>
          <w:color w:val="414142"/>
          <w:sz w:val="20"/>
          <w:szCs w:val="20"/>
        </w:rPr>
        <w:t>, establece en su Artículo 129 la obligación del poder público de garantizar el desarrollo integral estatal, mediante el fomento del crecimiento económico, una más justa distribución de la riqueza y el ingreso de la población estatal, evitando concentraciones o acaparamientos que impidan la distribución adecuada de bienes y servicios a la población y en el Estado. Lo anterior, con la</w:t>
      </w:r>
      <w:r w:rsidRPr="007B1707">
        <w:rPr>
          <w:rFonts w:ascii="GalanoGrotesque-Medium" w:eastAsiaTheme="minorEastAsia" w:hAnsi="GalanoGrotesque-Medium" w:cs="Arial"/>
          <w:sz w:val="24"/>
          <w:szCs w:val="24"/>
          <w:lang w:eastAsia="es-MX"/>
        </w:rPr>
        <w:t xml:space="preserve"> </w:t>
      </w:r>
      <w:r w:rsidRPr="00002FF0">
        <w:rPr>
          <w:rFonts w:ascii="MyriadPro-Regular" w:hAnsi="MyriadPro-Regular" w:cs="MyriadPro-Regular"/>
          <w:color w:val="414142"/>
          <w:sz w:val="20"/>
          <w:szCs w:val="20"/>
        </w:rPr>
        <w:t xml:space="preserve">concurrencia de los sectores público, social y privado, correspondiendo al Gobierno del Estado procurar la armonía entre ellos para cumplir con su responsabilidad social. </w:t>
      </w:r>
    </w:p>
    <w:p w14:paraId="1370DA39" w14:textId="77777777" w:rsidR="007B1707" w:rsidRPr="00002FF0" w:rsidRDefault="007B1707" w:rsidP="00204156">
      <w:pPr>
        <w:spacing w:after="160" w:line="240" w:lineRule="auto"/>
        <w:jc w:val="both"/>
        <w:rPr>
          <w:rFonts w:ascii="MyriadPro-Regular" w:hAnsi="MyriadPro-Regular" w:cs="MyriadPro-Regular"/>
          <w:color w:val="414142"/>
          <w:sz w:val="20"/>
          <w:szCs w:val="20"/>
        </w:rPr>
      </w:pPr>
      <w:r w:rsidRPr="00002FF0">
        <w:rPr>
          <w:rFonts w:ascii="MyriadPro-Regular" w:hAnsi="MyriadPro-Regular" w:cs="MyriadPro-Regular"/>
          <w:color w:val="414142"/>
          <w:sz w:val="20"/>
          <w:szCs w:val="20"/>
        </w:rPr>
        <w:t xml:space="preserve">Conforme al Artículo 5° de la </w:t>
      </w:r>
      <w:r w:rsidRPr="007B4312">
        <w:rPr>
          <w:rFonts w:ascii="MyriadPro-Regular" w:hAnsi="MyriadPro-Regular" w:cs="MyriadPro-Regular"/>
          <w:b/>
          <w:color w:val="414142"/>
          <w:sz w:val="20"/>
          <w:szCs w:val="20"/>
        </w:rPr>
        <w:t>LEY DE PLANEACIÓN DEL ESTADO DE MICHOACÁN DE OCAMPO</w:t>
      </w:r>
      <w:r w:rsidRPr="00002FF0">
        <w:rPr>
          <w:rFonts w:ascii="MyriadPro-Regular" w:hAnsi="MyriadPro-Regular" w:cs="MyriadPro-Regular"/>
          <w:color w:val="414142"/>
          <w:sz w:val="20"/>
          <w:szCs w:val="20"/>
        </w:rPr>
        <w:t xml:space="preserve">, el Ejecutivo del Estado es el responsable de conducir la planeación y su ejercicio integral en la esfera de su competencia y atribuciones, para lo cual cuenta con las dependencias básicas para el ejercicio de sus </w:t>
      </w:r>
      <w:r w:rsidRPr="00002FF0">
        <w:rPr>
          <w:rFonts w:ascii="MyriadPro-Regular" w:hAnsi="MyriadPro-Regular" w:cs="MyriadPro-Regular"/>
          <w:color w:val="414142"/>
          <w:sz w:val="20"/>
          <w:szCs w:val="20"/>
        </w:rPr>
        <w:lastRenderedPageBreak/>
        <w:t xml:space="preserve">funciones, por lo que la Coordinación General de Gabinete y Planeación, conforme al Art. 37 de la </w:t>
      </w:r>
      <w:r w:rsidRPr="007B4312">
        <w:rPr>
          <w:rFonts w:ascii="MyriadPro-Regular" w:hAnsi="MyriadPro-Regular" w:cs="MyriadPro-Regular"/>
          <w:b/>
          <w:color w:val="414142"/>
          <w:sz w:val="20"/>
          <w:szCs w:val="20"/>
        </w:rPr>
        <w:t>LEY ÓRGANICA DE LA ADMINISTRACIÓN PÚBLICA DEL ESTADO DE MICHOACÁN DE OCAMPO</w:t>
      </w:r>
      <w:r w:rsidRPr="00002FF0">
        <w:rPr>
          <w:rFonts w:ascii="MyriadPro-Regular" w:hAnsi="MyriadPro-Regular" w:cs="MyriadPro-Regular"/>
          <w:color w:val="414142"/>
          <w:sz w:val="20"/>
          <w:szCs w:val="20"/>
        </w:rPr>
        <w:t xml:space="preserve">, tiene como atribución coordinar el diseño, elaboración y actualización periódica del Plan de Desarrollo Integral del Estado de Michoacán </w:t>
      </w:r>
      <w:r w:rsidRPr="007B4312">
        <w:rPr>
          <w:rFonts w:ascii="MyriadPro-Regular" w:hAnsi="MyriadPro-Regular" w:cs="MyriadPro-Regular"/>
          <w:b/>
          <w:color w:val="414142"/>
          <w:sz w:val="20"/>
          <w:szCs w:val="20"/>
        </w:rPr>
        <w:t>(PLADIEM)</w:t>
      </w:r>
      <w:r w:rsidRPr="00002FF0">
        <w:rPr>
          <w:rFonts w:ascii="MyriadPro-Regular" w:hAnsi="MyriadPro-Regular" w:cs="MyriadPro-Regular"/>
          <w:color w:val="414142"/>
          <w:sz w:val="20"/>
          <w:szCs w:val="20"/>
        </w:rPr>
        <w:t>, así como de los Programas de las distintas áreas del Gobierno del Estado, con la participación de las dependencias y entidades de la Administración Pública Estatal, de los</w:t>
      </w:r>
      <w:r w:rsidRPr="007B1707">
        <w:rPr>
          <w:rFonts w:ascii="GalanoGrotesque-Medium" w:eastAsia="Times New Roman" w:hAnsi="GalanoGrotesque-Medium" w:cs="Arial"/>
          <w:sz w:val="24"/>
          <w:szCs w:val="24"/>
          <w:lang w:val="es-ES" w:eastAsia="es-ES"/>
        </w:rPr>
        <w:t xml:space="preserve"> </w:t>
      </w:r>
      <w:r w:rsidRPr="00002FF0">
        <w:rPr>
          <w:rFonts w:ascii="MyriadPro-Regular" w:hAnsi="MyriadPro-Regular" w:cs="MyriadPro-Regular"/>
          <w:color w:val="414142"/>
          <w:sz w:val="20"/>
          <w:szCs w:val="20"/>
        </w:rPr>
        <w:t>ayuntamientos, de las organizaciones sociales y privadas y de los ciudadanos, de acuerdo a la legislación vigente en la materia.</w:t>
      </w:r>
    </w:p>
    <w:p w14:paraId="6B708323" w14:textId="77777777" w:rsidR="007B1707" w:rsidRPr="00002FF0" w:rsidRDefault="007B1707" w:rsidP="00204156">
      <w:pPr>
        <w:spacing w:after="160" w:line="240" w:lineRule="auto"/>
        <w:jc w:val="both"/>
        <w:rPr>
          <w:rFonts w:ascii="MyriadPro-Regular" w:hAnsi="MyriadPro-Regular" w:cs="MyriadPro-Regular"/>
          <w:color w:val="414142"/>
          <w:sz w:val="20"/>
          <w:szCs w:val="20"/>
        </w:rPr>
      </w:pPr>
      <w:r w:rsidRPr="00002FF0">
        <w:rPr>
          <w:rFonts w:ascii="MyriadPro-Regular" w:hAnsi="MyriadPro-Regular" w:cs="MyriadPro-Regular"/>
          <w:color w:val="414142"/>
          <w:sz w:val="20"/>
          <w:szCs w:val="20"/>
        </w:rPr>
        <w:t>El Plan de Desarrollo Integral del Estado de Michoacán, indicará los programas sectoriales, regionales y especiales que deban ser elaborados, y conforme al artículo 16 de la Ley de Planeación antes citada, debe elaborarse, aprobarse y publicarse dentro de un plazo que no exceda de un año contado a partir de la fecha de toma de posesión del Gobernador y su vigencia se circunscribirá al período constitucional 2015 – 2021, aunque sus previsiones y proyecciones podrán exceder de ese término.</w:t>
      </w:r>
    </w:p>
    <w:p w14:paraId="5663CC07" w14:textId="77777777" w:rsidR="007B1707" w:rsidRPr="00002FF0" w:rsidRDefault="007B1707" w:rsidP="00204156">
      <w:pPr>
        <w:spacing w:after="160" w:line="240" w:lineRule="auto"/>
        <w:jc w:val="both"/>
        <w:rPr>
          <w:rFonts w:ascii="MyriadPro-Regular" w:hAnsi="MyriadPro-Regular" w:cs="MyriadPro-Regular"/>
          <w:color w:val="414142"/>
          <w:sz w:val="20"/>
          <w:szCs w:val="20"/>
        </w:rPr>
      </w:pPr>
      <w:r w:rsidRPr="00002FF0">
        <w:rPr>
          <w:rFonts w:ascii="MyriadPro-Regular" w:hAnsi="MyriadPro-Regular" w:cs="MyriadPro-Regular"/>
          <w:color w:val="414142"/>
          <w:sz w:val="20"/>
          <w:szCs w:val="20"/>
        </w:rPr>
        <w:t>En ese  mismo sentido, la Coordinación General de Gabinete y Planeación, a través de la Dirección General de Planeación, tiene la facultad de conducir el diseño, elaboración y actualización</w:t>
      </w:r>
      <w:r w:rsidRPr="007B1707">
        <w:rPr>
          <w:rFonts w:ascii="GalanoGrotesque-Medium" w:eastAsiaTheme="minorEastAsia" w:hAnsi="GalanoGrotesque-Medium" w:cs="Arial"/>
          <w:sz w:val="24"/>
          <w:szCs w:val="24"/>
          <w:lang w:eastAsia="es-MX"/>
        </w:rPr>
        <w:t xml:space="preserve"> </w:t>
      </w:r>
      <w:r w:rsidRPr="00002FF0">
        <w:rPr>
          <w:rFonts w:ascii="MyriadPro-Regular" w:hAnsi="MyriadPro-Regular" w:cs="MyriadPro-Regular"/>
          <w:color w:val="414142"/>
          <w:sz w:val="20"/>
          <w:szCs w:val="20"/>
        </w:rPr>
        <w:t xml:space="preserve">periódica del PLADIEM, definiendo los métodos y normas para su seguimiento y actualización,  de conformidad con el Artículo  220 del </w:t>
      </w:r>
      <w:r w:rsidRPr="007B4312">
        <w:rPr>
          <w:rFonts w:ascii="MyriadPro-Regular" w:hAnsi="MyriadPro-Regular" w:cs="MyriadPro-Regular"/>
          <w:b/>
          <w:color w:val="414142"/>
          <w:sz w:val="20"/>
          <w:szCs w:val="20"/>
        </w:rPr>
        <w:t>REGLAMENTO INTERIOR DE LA ADMINISTRACIÓN PÚBLICA CENTRALIZADA DEL ESTADO DE MICHOACÁN</w:t>
      </w:r>
      <w:r w:rsidRPr="00002FF0">
        <w:rPr>
          <w:rFonts w:ascii="MyriadPro-Regular" w:hAnsi="MyriadPro-Regular" w:cs="MyriadPro-Regular"/>
          <w:color w:val="414142"/>
          <w:sz w:val="20"/>
          <w:szCs w:val="20"/>
        </w:rPr>
        <w:t xml:space="preserve">; corresponde  a su vez a la Dirección de Planeación y Participación ciudadana, conforme al Artículo 221 del reglamento antes mencionado, diseñar y elaborar el instrumento rector de la planeación en el Estado, con la participación de las dependencias, coordinaciones y entidades, así como con los ayuntamientos, organizaciones constituidas y ciudadanos. </w:t>
      </w:r>
    </w:p>
    <w:p w14:paraId="4D96FB30" w14:textId="209F4C53" w:rsidR="007B1707" w:rsidRPr="00002FF0" w:rsidRDefault="007B1707" w:rsidP="00204156">
      <w:pPr>
        <w:spacing w:after="160" w:line="240" w:lineRule="auto"/>
        <w:jc w:val="both"/>
        <w:rPr>
          <w:rFonts w:ascii="MyriadPro-Regular" w:hAnsi="MyriadPro-Regular" w:cs="MyriadPro-Regular"/>
          <w:color w:val="414142"/>
          <w:sz w:val="20"/>
          <w:szCs w:val="20"/>
        </w:rPr>
      </w:pPr>
      <w:r w:rsidRPr="00002FF0">
        <w:rPr>
          <w:rFonts w:ascii="MyriadPro-Regular" w:hAnsi="MyriadPro-Regular" w:cs="MyriadPro-Regular"/>
          <w:color w:val="414142"/>
          <w:sz w:val="20"/>
          <w:szCs w:val="20"/>
        </w:rPr>
        <w:t xml:space="preserve">Con fecha 21 de abril de 1981, se publicó en el Periódico Oficial del Gobierno Constitucional del Estado de Michoacán de Ocampo el Decreto de creación del Comité de Planeación para el Desarrollo del Estado de Michoacán, como Organismo Público Descentralizado del Estado, con personalidad jurídica y patrimonio propios, reformado mediante Decreto del 20 de noviembre de 1986, cuyo objeto principal estriba en coordinar la formulación, instrumentación, ejecución, control, evaluación e información del Plan de </w:t>
      </w:r>
      <w:r w:rsidRPr="00002FF0">
        <w:rPr>
          <w:rFonts w:ascii="MyriadPro-Regular" w:hAnsi="MyriadPro-Regular" w:cs="MyriadPro-Regular"/>
          <w:color w:val="414142"/>
          <w:sz w:val="20"/>
          <w:szCs w:val="20"/>
        </w:rPr>
        <w:lastRenderedPageBreak/>
        <w:t>Desarrollo Integral del Estado, buscando su congruencia con el Plan Nacional de Desarrollo y con los programas que formule el Gobierno Federal, y propiciando la colaboración de los diversos sectores sociales.</w:t>
      </w:r>
    </w:p>
    <w:p w14:paraId="342F47B1" w14:textId="77777777" w:rsidR="007B1707" w:rsidRPr="00002FF0" w:rsidRDefault="007B1707" w:rsidP="00204156">
      <w:pPr>
        <w:spacing w:after="160" w:line="240" w:lineRule="auto"/>
        <w:jc w:val="both"/>
        <w:rPr>
          <w:rFonts w:ascii="MyriadPro-Regular" w:hAnsi="MyriadPro-Regular" w:cs="MyriadPro-Regular"/>
          <w:color w:val="414142"/>
          <w:sz w:val="20"/>
          <w:szCs w:val="20"/>
        </w:rPr>
      </w:pPr>
      <w:r w:rsidRPr="00002FF0">
        <w:rPr>
          <w:rFonts w:ascii="MyriadPro-Regular" w:hAnsi="MyriadPro-Regular" w:cs="MyriadPro-Regular"/>
          <w:color w:val="414142"/>
          <w:sz w:val="20"/>
          <w:szCs w:val="20"/>
        </w:rPr>
        <w:t xml:space="preserve">A efecto de impulsar la participación de los ayuntamientos, la sociedad civil, los productores y empresarios, en los términos de las disposiciones normativas antes mencionadas, en la integración del Plan de Desarrollo Integral del Estado de Michoacán, el Ejecutivo del Estado determinó llevar cabo foros de consulta y participación ciudadana, considerando lo dispuesto en el </w:t>
      </w:r>
      <w:r w:rsidRPr="007B4312">
        <w:rPr>
          <w:rFonts w:ascii="MyriadPro-Regular" w:hAnsi="MyriadPro-Regular" w:cs="MyriadPro-Regular"/>
          <w:b/>
          <w:color w:val="414142"/>
          <w:sz w:val="20"/>
          <w:szCs w:val="20"/>
        </w:rPr>
        <w:t>DECRETO DE REGIONALIZACIÓN PARA LA PLANEACIÓN Y DESARROLLO DEL ESTADO DE MICHOACÁN DE OCAMPO</w:t>
      </w:r>
      <w:r w:rsidRPr="00002FF0">
        <w:rPr>
          <w:rFonts w:ascii="MyriadPro-Regular" w:hAnsi="MyriadPro-Regular" w:cs="MyriadPro-Regular"/>
          <w:color w:val="414142"/>
          <w:sz w:val="20"/>
          <w:szCs w:val="20"/>
        </w:rPr>
        <w:t xml:space="preserve">, el cual establece las regiones I Lerma – Chapala, II Bajío, III </w:t>
      </w:r>
      <w:proofErr w:type="spellStart"/>
      <w:r w:rsidRPr="00002FF0">
        <w:rPr>
          <w:rFonts w:ascii="MyriadPro-Regular" w:hAnsi="MyriadPro-Regular" w:cs="MyriadPro-Regular"/>
          <w:color w:val="414142"/>
          <w:sz w:val="20"/>
          <w:szCs w:val="20"/>
        </w:rPr>
        <w:t>Cuitzeo</w:t>
      </w:r>
      <w:proofErr w:type="spellEnd"/>
      <w:r w:rsidRPr="00002FF0">
        <w:rPr>
          <w:rFonts w:ascii="MyriadPro-Regular" w:hAnsi="MyriadPro-Regular" w:cs="MyriadPro-Regular"/>
          <w:color w:val="414142"/>
          <w:sz w:val="20"/>
          <w:szCs w:val="20"/>
        </w:rPr>
        <w:t xml:space="preserve">, IV Oriente, V Tepalcatepec, VI Purépecha, VII Pátzcuaro – </w:t>
      </w:r>
      <w:proofErr w:type="spellStart"/>
      <w:r w:rsidRPr="00002FF0">
        <w:rPr>
          <w:rFonts w:ascii="MyriadPro-Regular" w:hAnsi="MyriadPro-Regular" w:cs="MyriadPro-Regular"/>
          <w:color w:val="414142"/>
          <w:sz w:val="20"/>
          <w:szCs w:val="20"/>
        </w:rPr>
        <w:t>Zirahuén</w:t>
      </w:r>
      <w:proofErr w:type="spellEnd"/>
      <w:r w:rsidRPr="00002FF0">
        <w:rPr>
          <w:rFonts w:ascii="MyriadPro-Regular" w:hAnsi="MyriadPro-Regular" w:cs="MyriadPro-Regular"/>
          <w:color w:val="414142"/>
          <w:sz w:val="20"/>
          <w:szCs w:val="20"/>
        </w:rPr>
        <w:t xml:space="preserve">, VIII Tierra Caliente, IX Sierra - Costa, y X Infiernillo. </w:t>
      </w:r>
    </w:p>
    <w:p w14:paraId="14DE1052" w14:textId="77777777" w:rsidR="007B1707" w:rsidRPr="00002FF0" w:rsidRDefault="007B1707" w:rsidP="00293B5A">
      <w:pPr>
        <w:spacing w:after="240" w:line="240" w:lineRule="auto"/>
        <w:jc w:val="both"/>
        <w:rPr>
          <w:rFonts w:ascii="MyriadPro-Regular" w:hAnsi="MyriadPro-Regular" w:cs="MyriadPro-Regular"/>
          <w:color w:val="414142"/>
          <w:sz w:val="20"/>
          <w:szCs w:val="20"/>
        </w:rPr>
      </w:pPr>
      <w:r w:rsidRPr="00002FF0">
        <w:rPr>
          <w:rFonts w:ascii="MyriadPro-Regular" w:hAnsi="MyriadPro-Regular" w:cs="MyriadPro-Regular"/>
          <w:color w:val="414142"/>
          <w:sz w:val="20"/>
          <w:szCs w:val="20"/>
        </w:rPr>
        <w:t>Lo anterior, a efecto de que en los términos del Artículo 3° del decreto antes citado,  las Dependencias y Entidades de la Administración Pública del Estado, en el marco del Plan de Desarrollo Integral del Estado de Michoacán, integren en sus programas regionales, sectoriales y especiales, una planeación territorial que respete las vocaciones particulares de cada región, con base en una visión de mediano y largo plazos.</w:t>
      </w:r>
    </w:p>
    <w:p w14:paraId="0C56D0F0" w14:textId="77777777" w:rsidR="00293B5A" w:rsidRDefault="00293B5A" w:rsidP="00293B5A">
      <w:pPr>
        <w:pStyle w:val="Prrafodelista"/>
        <w:spacing w:after="160" w:line="280" w:lineRule="exact"/>
        <w:ind w:left="357"/>
        <w:jc w:val="both"/>
        <w:rPr>
          <w:rFonts w:ascii="GalanoGrotesque-Black" w:hAnsi="GalanoGrotesque-Black" w:cs="GalanoGrotesque-Black"/>
          <w:color w:val="414142"/>
          <w:sz w:val="32"/>
          <w:szCs w:val="32"/>
        </w:rPr>
      </w:pPr>
    </w:p>
    <w:p w14:paraId="2624C40D" w14:textId="77777777" w:rsidR="007B1707" w:rsidRPr="007B4312" w:rsidRDefault="00726EF4" w:rsidP="00293B5A">
      <w:pPr>
        <w:pStyle w:val="Prrafodelista"/>
        <w:numPr>
          <w:ilvl w:val="0"/>
          <w:numId w:val="12"/>
        </w:numPr>
        <w:spacing w:after="160" w:line="280" w:lineRule="exact"/>
        <w:ind w:left="357" w:hanging="357"/>
        <w:jc w:val="both"/>
        <w:outlineLvl w:val="0"/>
        <w:rPr>
          <w:rFonts w:ascii="GalanoGrotesque-Black" w:hAnsi="GalanoGrotesque-Black" w:cs="GalanoGrotesque-Black"/>
          <w:b/>
          <w:color w:val="414142"/>
          <w:sz w:val="32"/>
          <w:szCs w:val="32"/>
        </w:rPr>
      </w:pPr>
      <w:bookmarkStart w:id="6" w:name="_Toc458015633"/>
      <w:r w:rsidRPr="007B4312">
        <w:rPr>
          <w:rFonts w:ascii="GalanoGrotesque-Black" w:hAnsi="GalanoGrotesque-Black" w:cs="GalanoGrotesque-Black"/>
          <w:b/>
          <w:color w:val="414142"/>
          <w:sz w:val="32"/>
          <w:szCs w:val="32"/>
        </w:rPr>
        <w:t>Enfoque Metodológico</w:t>
      </w:r>
      <w:r w:rsidR="00204156" w:rsidRPr="007B4312">
        <w:rPr>
          <w:rFonts w:ascii="GalanoGrotesque-Black" w:hAnsi="GalanoGrotesque-Black" w:cs="GalanoGrotesque-Black"/>
          <w:b/>
          <w:color w:val="414142"/>
          <w:sz w:val="32"/>
          <w:szCs w:val="32"/>
        </w:rPr>
        <w:t xml:space="preserve"> </w:t>
      </w:r>
      <w:r w:rsidRPr="007B4312">
        <w:rPr>
          <w:rFonts w:ascii="GalanoGrotesque-Black" w:hAnsi="GalanoGrotesque-Black" w:cs="GalanoGrotesque-Black"/>
          <w:b/>
          <w:color w:val="414142"/>
          <w:sz w:val="32"/>
          <w:szCs w:val="32"/>
        </w:rPr>
        <w:t>y Conceptual</w:t>
      </w:r>
      <w:bookmarkEnd w:id="6"/>
    </w:p>
    <w:p w14:paraId="6B81EB48" w14:textId="1AE69251" w:rsidR="007B1707" w:rsidRPr="00204156" w:rsidRDefault="007B1707" w:rsidP="00204156">
      <w:pPr>
        <w:spacing w:after="160" w:line="240" w:lineRule="auto"/>
        <w:jc w:val="both"/>
        <w:rPr>
          <w:rFonts w:ascii="MyriadPro-Regular" w:hAnsi="MyriadPro-Regular" w:cs="MyriadPro-Regular"/>
          <w:color w:val="414142"/>
          <w:sz w:val="20"/>
          <w:szCs w:val="20"/>
        </w:rPr>
      </w:pPr>
      <w:r w:rsidRPr="00726EF4">
        <w:rPr>
          <w:rFonts w:ascii="MyriadPro-Regular" w:hAnsi="MyriadPro-Regular" w:cs="MyriadPro-Regular"/>
          <w:color w:val="414142"/>
          <w:sz w:val="20"/>
          <w:szCs w:val="20"/>
        </w:rPr>
        <w:t xml:space="preserve">El proceso para la elaboración del Plan de Desarrollo Integral del Estado de Michoacán 2015-2021 incluyó cuatro etapas: en la primera fase se definió la perspectiva de gobierno basada en un “Nuevo Comienzo” y en los compromisos de la campaña electoral del </w:t>
      </w:r>
      <w:r w:rsidR="00082EBA">
        <w:rPr>
          <w:rFonts w:ascii="MyriadPro-Regular" w:hAnsi="MyriadPro-Regular" w:cs="MyriadPro-Regular"/>
          <w:color w:val="414142"/>
          <w:sz w:val="20"/>
          <w:szCs w:val="20"/>
        </w:rPr>
        <w:t xml:space="preserve">actual </w:t>
      </w:r>
      <w:r w:rsidRPr="00726EF4">
        <w:rPr>
          <w:rFonts w:ascii="MyriadPro-Regular" w:hAnsi="MyriadPro-Regular" w:cs="MyriadPro-Regular"/>
          <w:color w:val="414142"/>
          <w:sz w:val="20"/>
          <w:szCs w:val="20"/>
        </w:rPr>
        <w:t xml:space="preserve">Gobernador; en la segunda fase se definió una perspectiva estratégica para identificar y construir prioridades transversales; en la tercera fase se realizó una amplia consulta pública a través de foros y participación ciudadana, así como la consulta a especialistas y a los titulares del Gabinete; en la cuarta fase se llevó a cabo la integración del </w:t>
      </w:r>
      <w:r w:rsidRPr="00AB3EBD">
        <w:rPr>
          <w:rFonts w:ascii="MyriadPro-Regular" w:hAnsi="MyriadPro-Regular" w:cs="MyriadPro-Regular"/>
          <w:color w:val="414142"/>
          <w:sz w:val="20"/>
          <w:szCs w:val="20"/>
        </w:rPr>
        <w:t>PLADIEM</w:t>
      </w:r>
      <w:r w:rsidRPr="00726EF4">
        <w:rPr>
          <w:rFonts w:ascii="MyriadPro-Regular" w:hAnsi="MyriadPro-Regular" w:cs="MyriadPro-Regular"/>
          <w:color w:val="414142"/>
          <w:sz w:val="20"/>
          <w:szCs w:val="20"/>
        </w:rPr>
        <w:t>, la cual concretó la nueva visión del Estado bajo una perspectiva estratégica basada en la opinión de la sociedad michoacana y en los compromisos de la campaña electoral</w:t>
      </w:r>
      <w:r w:rsidRPr="003876D6">
        <w:rPr>
          <w:rFonts w:ascii="MyriadPro-Regular" w:hAnsi="MyriadPro-Regular" w:cs="MyriadPro-Regular"/>
          <w:color w:val="414142"/>
          <w:sz w:val="20"/>
          <w:szCs w:val="20"/>
        </w:rPr>
        <w:t>.</w:t>
      </w:r>
      <w:r w:rsidR="00204156">
        <w:rPr>
          <w:rFonts w:ascii="MyriadPro-Regular" w:hAnsi="MyriadPro-Regular" w:cs="MyriadPro-Regular"/>
          <w:color w:val="414142"/>
          <w:sz w:val="20"/>
          <w:szCs w:val="20"/>
        </w:rPr>
        <w:br w:type="column"/>
      </w:r>
    </w:p>
    <w:p w14:paraId="722C0AB6" w14:textId="77777777" w:rsidR="007B1707" w:rsidRPr="003876D6" w:rsidRDefault="007B1707" w:rsidP="00933B38">
      <w:pPr>
        <w:autoSpaceDE w:val="0"/>
        <w:autoSpaceDN w:val="0"/>
        <w:adjustRightInd w:val="0"/>
        <w:spacing w:after="0" w:line="180" w:lineRule="exact"/>
        <w:jc w:val="center"/>
        <w:rPr>
          <w:rFonts w:ascii="GalanoGrotesque-Bold" w:hAnsi="GalanoGrotesque-Bold" w:cs="GalanoGrotesque-Bold"/>
          <w:b/>
          <w:bCs/>
          <w:color w:val="414142"/>
          <w:sz w:val="16"/>
          <w:szCs w:val="14"/>
        </w:rPr>
      </w:pPr>
      <w:r w:rsidRPr="003876D6">
        <w:rPr>
          <w:rFonts w:ascii="GalanoGrotesque-Bold" w:hAnsi="GalanoGrotesque-Bold" w:cs="GalanoGrotesque-Bold"/>
          <w:b/>
          <w:bCs/>
          <w:color w:val="414142"/>
          <w:sz w:val="16"/>
          <w:szCs w:val="14"/>
        </w:rPr>
        <w:t>Figura 2</w:t>
      </w:r>
    </w:p>
    <w:p w14:paraId="1EA3D524" w14:textId="77777777" w:rsidR="007B1707" w:rsidRDefault="007B1707" w:rsidP="00933B38">
      <w:pPr>
        <w:autoSpaceDE w:val="0"/>
        <w:autoSpaceDN w:val="0"/>
        <w:adjustRightInd w:val="0"/>
        <w:spacing w:after="0" w:line="180" w:lineRule="exact"/>
        <w:jc w:val="center"/>
        <w:rPr>
          <w:rFonts w:ascii="GalanoGrotesque-Medium" w:hAnsi="GalanoGrotesque-Medium" w:cs="GalanoGrotesque-Medium"/>
          <w:color w:val="414142"/>
          <w:sz w:val="16"/>
          <w:szCs w:val="14"/>
        </w:rPr>
      </w:pPr>
      <w:r w:rsidRPr="003876D6">
        <w:rPr>
          <w:rFonts w:ascii="GalanoGrotesque-Medium" w:hAnsi="GalanoGrotesque-Medium" w:cs="GalanoGrotesque-Medium"/>
          <w:color w:val="414142"/>
          <w:sz w:val="16"/>
          <w:szCs w:val="14"/>
        </w:rPr>
        <w:t>Proceso para la elaboración del PLADIEM</w:t>
      </w:r>
    </w:p>
    <w:p w14:paraId="0E3484A6" w14:textId="77777777" w:rsidR="003876D6" w:rsidRPr="003876D6" w:rsidRDefault="003876D6" w:rsidP="00933B38">
      <w:pPr>
        <w:autoSpaceDE w:val="0"/>
        <w:autoSpaceDN w:val="0"/>
        <w:adjustRightInd w:val="0"/>
        <w:spacing w:after="0" w:line="180" w:lineRule="exact"/>
        <w:jc w:val="center"/>
        <w:rPr>
          <w:rFonts w:ascii="GalanoGrotesque-Medium" w:hAnsi="GalanoGrotesque-Medium" w:cs="GalanoGrotesque-Medium"/>
          <w:color w:val="414142"/>
          <w:sz w:val="16"/>
          <w:szCs w:val="14"/>
        </w:rPr>
      </w:pPr>
    </w:p>
    <w:p w14:paraId="0FD17B1F" w14:textId="77777777" w:rsidR="007B1707" w:rsidRPr="001E7327" w:rsidRDefault="007B1707" w:rsidP="007B1707">
      <w:pPr>
        <w:spacing w:after="240"/>
        <w:jc w:val="both"/>
        <w:rPr>
          <w:rFonts w:ascii="GalanoGrotesque-Medium" w:hAnsi="GalanoGrotesque-Medium" w:cs="Arial"/>
          <w:b/>
          <w:noProof/>
        </w:rPr>
      </w:pPr>
      <w:r w:rsidRPr="001E7327">
        <w:rPr>
          <w:rFonts w:ascii="GalanoGrotesque-Medium" w:hAnsi="GalanoGrotesque-Medium" w:cs="Arial"/>
          <w:b/>
          <w:noProof/>
          <w:lang w:val="es-ES" w:eastAsia="es-ES"/>
        </w:rPr>
        <mc:AlternateContent>
          <mc:Choice Requires="wpg">
            <w:drawing>
              <wp:inline distT="0" distB="0" distL="0" distR="0" wp14:anchorId="3DD045BA" wp14:editId="7A0FC456">
                <wp:extent cx="2934183" cy="2011532"/>
                <wp:effectExtent l="0" t="0" r="19050" b="8255"/>
                <wp:docPr id="23" name="19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4183" cy="2011532"/>
                          <a:chOff x="12470" y="19721"/>
                          <a:chExt cx="67924" cy="40276"/>
                        </a:xfrm>
                      </wpg:grpSpPr>
                      <pic:pic xmlns:pic="http://schemas.openxmlformats.org/drawingml/2006/picture">
                        <pic:nvPicPr>
                          <pic:cNvPr id="24" name="Picture 2" descr="Logo_Foros_PLADIE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5158" y="29421"/>
                            <a:ext cx="22739" cy="19147"/>
                          </a:xfrm>
                          <a:prstGeom prst="rect">
                            <a:avLst/>
                          </a:prstGeom>
                          <a:noFill/>
                          <a:extLst>
                            <a:ext uri="{909E8E84-426E-40DD-AFC4-6F175D3DCCD1}">
                              <a14:hiddenFill xmlns:a14="http://schemas.microsoft.com/office/drawing/2010/main">
                                <a:solidFill>
                                  <a:srgbClr val="FFFFFF"/>
                                </a:solidFill>
                              </a14:hiddenFill>
                            </a:ext>
                          </a:extLst>
                        </pic:spPr>
                      </pic:pic>
                      <wpg:grpSp>
                        <wpg:cNvPr id="25" name="5 Grupo"/>
                        <wpg:cNvGrpSpPr>
                          <a:grpSpLocks/>
                        </wpg:cNvGrpSpPr>
                        <wpg:grpSpPr bwMode="auto">
                          <a:xfrm>
                            <a:off x="12470" y="20002"/>
                            <a:ext cx="25390" cy="18571"/>
                            <a:chOff x="12546" y="20002"/>
                            <a:chExt cx="20416" cy="18571"/>
                          </a:xfrm>
                        </wpg:grpSpPr>
                        <wps:wsp>
                          <wps:cNvPr id="26" name="6 Circular"/>
                          <wps:cNvSpPr>
                            <a:spLocks/>
                          </wps:cNvSpPr>
                          <wps:spPr bwMode="auto">
                            <a:xfrm>
                              <a:off x="12546" y="20002"/>
                              <a:ext cx="19272" cy="18035"/>
                            </a:xfrm>
                            <a:custGeom>
                              <a:avLst/>
                              <a:gdLst>
                                <a:gd name="T0" fmla="*/ 0 w 1759712"/>
                                <a:gd name="T1" fmla="*/ 17597 h 1759712"/>
                                <a:gd name="T2" fmla="*/ 17597 w 1759712"/>
                                <a:gd name="T3" fmla="*/ 0 h 1759712"/>
                                <a:gd name="T4" fmla="*/ 17597 w 1759712"/>
                                <a:gd name="T5" fmla="*/ 17597 h 1759712"/>
                                <a:gd name="T6" fmla="*/ 0 w 1759712"/>
                                <a:gd name="T7" fmla="*/ 17597 h 17597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9712" h="1759712">
                                  <a:moveTo>
                                    <a:pt x="0" y="1759712"/>
                                  </a:moveTo>
                                  <a:cubicBezTo>
                                    <a:pt x="0" y="787850"/>
                                    <a:pt x="787850" y="0"/>
                                    <a:pt x="1759712" y="0"/>
                                  </a:cubicBezTo>
                                  <a:lnTo>
                                    <a:pt x="1759712" y="1759712"/>
                                  </a:lnTo>
                                  <a:lnTo>
                                    <a:pt x="0" y="1759712"/>
                                  </a:lnTo>
                                  <a:close/>
                                </a:path>
                              </a:pathLst>
                            </a:custGeom>
                            <a:solidFill>
                              <a:schemeClr val="accent1">
                                <a:lumMod val="100000"/>
                                <a:lumOff val="0"/>
                              </a:schemeClr>
                            </a:solidFill>
                            <a:ln w="25400">
                              <a:solidFill>
                                <a:schemeClr val="lt1">
                                  <a:lumMod val="100000"/>
                                  <a:lumOff val="0"/>
                                </a:schemeClr>
                              </a:solidFill>
                              <a:round/>
                              <a:headEnd/>
                              <a:tailEnd/>
                            </a:ln>
                          </wps:spPr>
                          <wps:bodyPr rot="0" vert="horz" wrap="square" lIns="91440" tIns="45720" rIns="91440" bIns="45720" anchor="t" anchorCtr="0" upright="1">
                            <a:noAutofit/>
                          </wps:bodyPr>
                        </wps:wsp>
                        <wps:wsp>
                          <wps:cNvPr id="27" name="Circular 4"/>
                          <wps:cNvSpPr>
                            <a:spLocks noChangeArrowheads="1"/>
                          </wps:cNvSpPr>
                          <wps:spPr bwMode="auto">
                            <a:xfrm>
                              <a:off x="16071" y="23204"/>
                              <a:ext cx="16891" cy="15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0CE72" w14:textId="77777777" w:rsidR="00082EBA" w:rsidRPr="003876D6" w:rsidRDefault="00082EBA" w:rsidP="007B1707">
                                <w:pPr>
                                  <w:pStyle w:val="NormalWeb"/>
                                  <w:spacing w:before="0" w:beforeAutospacing="0" w:after="118" w:afterAutospacing="0" w:line="216" w:lineRule="auto"/>
                                  <w:jc w:val="center"/>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1 Perspectiva de Gobierno</w:t>
                                </w:r>
                              </w:p>
                              <w:p w14:paraId="29DCEA92" w14:textId="77777777" w:rsidR="00082EBA" w:rsidRPr="003876D6" w:rsidRDefault="00082EBA" w:rsidP="007B1707">
                                <w:pPr>
                                  <w:pStyle w:val="NormalWeb"/>
                                  <w:spacing w:before="0" w:beforeAutospacing="0" w:after="118" w:afterAutospacing="0" w:line="216" w:lineRule="auto"/>
                                  <w:jc w:val="center"/>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 xml:space="preserve">* Nuevo Comienzo </w:t>
                                </w:r>
                              </w:p>
                              <w:p w14:paraId="1B1F9FF5" w14:textId="77777777" w:rsidR="00082EBA" w:rsidRPr="003876D6" w:rsidRDefault="00082EBA" w:rsidP="007B1707">
                                <w:pPr>
                                  <w:pStyle w:val="NormalWeb"/>
                                  <w:spacing w:before="0" w:beforeAutospacing="0" w:after="118" w:afterAutospacing="0" w:line="216" w:lineRule="auto"/>
                                  <w:jc w:val="center"/>
                                  <w:rPr>
                                    <w:rFonts w:ascii="Arial" w:hAnsi="Arial" w:cs="Arial"/>
                                    <w:b/>
                                    <w:sz w:val="12"/>
                                    <w:szCs w:val="12"/>
                                  </w:rPr>
                                </w:pPr>
                                <w:r w:rsidRPr="003876D6">
                                  <w:rPr>
                                    <w:rFonts w:ascii="Arial" w:hAnsi="Arial" w:cs="Arial"/>
                                    <w:b/>
                                    <w:color w:val="FFFFFF" w:themeColor="light1"/>
                                    <w:kern w:val="24"/>
                                    <w:sz w:val="12"/>
                                    <w:szCs w:val="12"/>
                                  </w:rPr>
                                  <w:t>* Compromisos de campaña</w:t>
                                </w:r>
                              </w:p>
                            </w:txbxContent>
                          </wps:txbx>
                          <wps:bodyPr rot="0" vert="horz" wrap="square" lIns="99568" tIns="99568" rIns="99568" bIns="99568" anchor="ctr" anchorCtr="0" upright="1">
                            <a:noAutofit/>
                          </wps:bodyPr>
                        </wps:wsp>
                      </wpg:grpSp>
                      <wpg:grpSp>
                        <wpg:cNvPr id="28" name="8 Grupo"/>
                        <wpg:cNvGrpSpPr>
                          <a:grpSpLocks/>
                        </wpg:cNvGrpSpPr>
                        <wpg:grpSpPr bwMode="auto">
                          <a:xfrm>
                            <a:off x="50995" y="19721"/>
                            <a:ext cx="29399" cy="19801"/>
                            <a:chOff x="52739" y="19721"/>
                            <a:chExt cx="22630" cy="19800"/>
                          </a:xfrm>
                        </wpg:grpSpPr>
                        <wps:wsp>
                          <wps:cNvPr id="29" name="9 Circular"/>
                          <wps:cNvSpPr>
                            <a:spLocks/>
                          </wps:cNvSpPr>
                          <wps:spPr bwMode="auto">
                            <a:xfrm rot="5400000">
                              <a:off x="57016" y="19406"/>
                              <a:ext cx="18037" cy="18668"/>
                            </a:xfrm>
                            <a:custGeom>
                              <a:avLst/>
                              <a:gdLst>
                                <a:gd name="T0" fmla="*/ 0 w 1759712"/>
                                <a:gd name="T1" fmla="*/ 17047 h 1704721"/>
                                <a:gd name="T2" fmla="*/ 17597 w 1759712"/>
                                <a:gd name="T3" fmla="*/ 0 h 1704721"/>
                                <a:gd name="T4" fmla="*/ 17597 w 1759712"/>
                                <a:gd name="T5" fmla="*/ 17047 h 1704721"/>
                                <a:gd name="T6" fmla="*/ 0 w 1759712"/>
                                <a:gd name="T7" fmla="*/ 17047 h 17047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9712" h="1704721">
                                  <a:moveTo>
                                    <a:pt x="0" y="1704721"/>
                                  </a:moveTo>
                                  <a:cubicBezTo>
                                    <a:pt x="0" y="763230"/>
                                    <a:pt x="787850" y="0"/>
                                    <a:pt x="1759712" y="0"/>
                                  </a:cubicBezTo>
                                  <a:lnTo>
                                    <a:pt x="1759712" y="1704721"/>
                                  </a:lnTo>
                                  <a:lnTo>
                                    <a:pt x="0" y="1704721"/>
                                  </a:lnTo>
                                  <a:close/>
                                </a:path>
                              </a:pathLst>
                            </a:custGeom>
                            <a:solidFill>
                              <a:schemeClr val="accent1">
                                <a:lumMod val="100000"/>
                                <a:lumOff val="0"/>
                              </a:schemeClr>
                            </a:solidFill>
                            <a:ln w="25400">
                              <a:solidFill>
                                <a:schemeClr val="lt1">
                                  <a:lumMod val="100000"/>
                                  <a:lumOff val="0"/>
                                </a:schemeClr>
                              </a:solidFill>
                              <a:round/>
                              <a:headEnd/>
                              <a:tailEnd/>
                            </a:ln>
                          </wps:spPr>
                          <wps:bodyPr rot="0" vert="horz" wrap="square" lIns="91440" tIns="45720" rIns="91440" bIns="45720" anchor="t" anchorCtr="0" upright="1">
                            <a:noAutofit/>
                          </wps:bodyPr>
                        </wps:wsp>
                        <wps:wsp>
                          <wps:cNvPr id="30" name="Circular 4"/>
                          <wps:cNvSpPr>
                            <a:spLocks noChangeArrowheads="1"/>
                          </wps:cNvSpPr>
                          <wps:spPr bwMode="auto">
                            <a:xfrm>
                              <a:off x="52739" y="20091"/>
                              <a:ext cx="19701" cy="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54CBE" w14:textId="77777777" w:rsidR="00082EBA" w:rsidRPr="003876D6" w:rsidRDefault="00082EBA" w:rsidP="007B1707">
                                <w:pPr>
                                  <w:pStyle w:val="NormalWeb"/>
                                  <w:spacing w:before="0" w:beforeAutospacing="0" w:after="118" w:afterAutospacing="0" w:line="216" w:lineRule="auto"/>
                                  <w:jc w:val="center"/>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 xml:space="preserve">2 Orientación                 Estratégica </w:t>
                                </w:r>
                              </w:p>
                              <w:p w14:paraId="69BDC5BA" w14:textId="77777777" w:rsidR="00082EBA" w:rsidRPr="003876D6" w:rsidRDefault="00082EBA" w:rsidP="007B1707">
                                <w:pPr>
                                  <w:pStyle w:val="NormalWeb"/>
                                  <w:spacing w:before="0" w:beforeAutospacing="0" w:after="118" w:afterAutospacing="0" w:line="216" w:lineRule="auto"/>
                                  <w:jc w:val="center"/>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 xml:space="preserve">  * Identificación y construcción de prioridades transversales</w:t>
                                </w:r>
                              </w:p>
                            </w:txbxContent>
                          </wps:txbx>
                          <wps:bodyPr rot="0" vert="horz" wrap="square" lIns="99568" tIns="99568" rIns="99568" bIns="99568" anchor="ctr" anchorCtr="0" upright="1">
                            <a:noAutofit/>
                          </wps:bodyPr>
                        </wps:wsp>
                      </wpg:grpSp>
                      <wpg:grpSp>
                        <wpg:cNvPr id="31" name="11 Grupo"/>
                        <wpg:cNvGrpSpPr>
                          <a:grpSpLocks/>
                        </wpg:cNvGrpSpPr>
                        <wpg:grpSpPr bwMode="auto">
                          <a:xfrm>
                            <a:off x="54919" y="34431"/>
                            <a:ext cx="25473" cy="25566"/>
                            <a:chOff x="55817" y="34431"/>
                            <a:chExt cx="20240" cy="25566"/>
                          </a:xfrm>
                        </wpg:grpSpPr>
                        <wps:wsp>
                          <wps:cNvPr id="59392" name="12 Circular"/>
                          <wps:cNvSpPr>
                            <a:spLocks/>
                          </wps:cNvSpPr>
                          <wps:spPr bwMode="auto">
                            <a:xfrm rot="10800000">
                              <a:off x="56787" y="39067"/>
                              <a:ext cx="19270" cy="19593"/>
                            </a:xfrm>
                            <a:custGeom>
                              <a:avLst/>
                              <a:gdLst>
                                <a:gd name="T0" fmla="*/ 0 w 1759712"/>
                                <a:gd name="T1" fmla="*/ 19117 h 1759712"/>
                                <a:gd name="T2" fmla="*/ 17595 w 1759712"/>
                                <a:gd name="T3" fmla="*/ 0 h 1759712"/>
                                <a:gd name="T4" fmla="*/ 17595 w 1759712"/>
                                <a:gd name="T5" fmla="*/ 19117 h 1759712"/>
                                <a:gd name="T6" fmla="*/ 0 w 1759712"/>
                                <a:gd name="T7" fmla="*/ 19117 h 17597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9712" h="1759712">
                                  <a:moveTo>
                                    <a:pt x="0" y="1759712"/>
                                  </a:moveTo>
                                  <a:cubicBezTo>
                                    <a:pt x="0" y="787850"/>
                                    <a:pt x="787850" y="0"/>
                                    <a:pt x="1759712" y="0"/>
                                  </a:cubicBezTo>
                                  <a:lnTo>
                                    <a:pt x="1759712" y="1759712"/>
                                  </a:lnTo>
                                  <a:lnTo>
                                    <a:pt x="0" y="1759712"/>
                                  </a:lnTo>
                                  <a:close/>
                                </a:path>
                              </a:pathLst>
                            </a:custGeom>
                            <a:solidFill>
                              <a:schemeClr val="accent1">
                                <a:lumMod val="100000"/>
                                <a:lumOff val="0"/>
                              </a:schemeClr>
                            </a:solidFill>
                            <a:ln w="25400">
                              <a:solidFill>
                                <a:schemeClr val="lt1">
                                  <a:lumMod val="100000"/>
                                  <a:lumOff val="0"/>
                                </a:schemeClr>
                              </a:solidFill>
                              <a:round/>
                              <a:headEnd/>
                              <a:tailEnd/>
                            </a:ln>
                          </wps:spPr>
                          <wps:bodyPr rot="0" vert="horz" wrap="square" lIns="91440" tIns="45720" rIns="91440" bIns="45720" anchor="t" anchorCtr="0" upright="1">
                            <a:noAutofit/>
                          </wps:bodyPr>
                        </wps:wsp>
                        <wps:wsp>
                          <wps:cNvPr id="59394" name="Circular 4"/>
                          <wps:cNvSpPr>
                            <a:spLocks noChangeArrowheads="1"/>
                          </wps:cNvSpPr>
                          <wps:spPr bwMode="auto">
                            <a:xfrm>
                              <a:off x="55817" y="34431"/>
                              <a:ext cx="19479" cy="25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02B6C" w14:textId="77777777" w:rsidR="00082EBA" w:rsidRDefault="00082EBA" w:rsidP="007B1707">
                                <w:pPr>
                                  <w:pStyle w:val="NormalWeb"/>
                                  <w:spacing w:before="0" w:beforeAutospacing="0" w:after="0" w:afterAutospacing="0" w:line="216" w:lineRule="auto"/>
                                  <w:jc w:val="center"/>
                                  <w:rPr>
                                    <w:rFonts w:ascii="Arial" w:hAnsi="Arial" w:cs="Arial"/>
                                    <w:color w:val="FFFFFF" w:themeColor="light1"/>
                                    <w:kern w:val="24"/>
                                    <w:sz w:val="16"/>
                                    <w:szCs w:val="16"/>
                                  </w:rPr>
                                </w:pPr>
                              </w:p>
                              <w:p w14:paraId="72FE8E98" w14:textId="77777777" w:rsidR="00082EBA" w:rsidRPr="003876D6" w:rsidRDefault="00082EBA" w:rsidP="007B1707">
                                <w:pPr>
                                  <w:pStyle w:val="NormalWeb"/>
                                  <w:spacing w:before="0" w:beforeAutospacing="0" w:after="0" w:afterAutospacing="0" w:line="216" w:lineRule="auto"/>
                                  <w:jc w:val="center"/>
                                  <w:rPr>
                                    <w:rFonts w:ascii="Arial" w:hAnsi="Arial" w:cs="Arial"/>
                                    <w:b/>
                                    <w:color w:val="FFFFFF" w:themeColor="light1"/>
                                    <w:kern w:val="24"/>
                                    <w:sz w:val="16"/>
                                    <w:szCs w:val="16"/>
                                  </w:rPr>
                                </w:pPr>
                              </w:p>
                              <w:p w14:paraId="2AB15E8C" w14:textId="77777777" w:rsidR="00082EBA" w:rsidRPr="003876D6" w:rsidRDefault="00082EBA" w:rsidP="007B1707">
                                <w:pPr>
                                  <w:pStyle w:val="NormalWeb"/>
                                  <w:spacing w:before="0" w:beforeAutospacing="0" w:after="0" w:afterAutospacing="0" w:line="216" w:lineRule="auto"/>
                                  <w:jc w:val="center"/>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3 Consulta Pública</w:t>
                                </w:r>
                              </w:p>
                              <w:p w14:paraId="7184E81D" w14:textId="77777777" w:rsidR="00082EBA" w:rsidRPr="003876D6" w:rsidRDefault="00082EBA" w:rsidP="007B1707">
                                <w:pPr>
                                  <w:pStyle w:val="NormalWeb"/>
                                  <w:spacing w:before="0" w:beforeAutospacing="0" w:after="0" w:afterAutospacing="0" w:line="216" w:lineRule="auto"/>
                                  <w:jc w:val="center"/>
                                  <w:rPr>
                                    <w:rFonts w:ascii="Arial" w:hAnsi="Arial" w:cs="Arial"/>
                                    <w:b/>
                                    <w:color w:val="FFFFFF" w:themeColor="light1"/>
                                    <w:kern w:val="24"/>
                                    <w:sz w:val="12"/>
                                    <w:szCs w:val="12"/>
                                  </w:rPr>
                                </w:pPr>
                              </w:p>
                              <w:p w14:paraId="12C996C6" w14:textId="77777777" w:rsidR="00082EBA" w:rsidRPr="003876D6" w:rsidRDefault="00082EBA" w:rsidP="00EE70A4">
                                <w:pPr>
                                  <w:pStyle w:val="NormalWeb"/>
                                  <w:spacing w:before="0" w:beforeAutospacing="0" w:after="0" w:afterAutospacing="0"/>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*Foros de consulta y participación ciudadana</w:t>
                                </w:r>
                              </w:p>
                              <w:p w14:paraId="5AA9F5AE" w14:textId="77777777" w:rsidR="00082EBA" w:rsidRPr="003876D6" w:rsidRDefault="00082EBA" w:rsidP="007B1707">
                                <w:pPr>
                                  <w:pStyle w:val="NormalWeb"/>
                                  <w:spacing w:before="0" w:beforeAutospacing="0" w:after="0" w:afterAutospacing="0"/>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 xml:space="preserve">*Talleres de especialistas y sesiones de </w:t>
                                </w:r>
                              </w:p>
                              <w:p w14:paraId="4543068D" w14:textId="77777777" w:rsidR="00082EBA" w:rsidRPr="003876D6" w:rsidRDefault="00082EBA" w:rsidP="007B1707">
                                <w:pPr>
                                  <w:pStyle w:val="NormalWeb"/>
                                  <w:spacing w:before="0" w:beforeAutospacing="0" w:after="0" w:afterAutospacing="0"/>
                                  <w:rPr>
                                    <w:rFonts w:ascii="Arial" w:hAnsi="Arial" w:cs="Arial"/>
                                    <w:b/>
                                    <w:sz w:val="12"/>
                                    <w:szCs w:val="12"/>
                                  </w:rPr>
                                </w:pPr>
                                <w:r w:rsidRPr="003876D6">
                                  <w:rPr>
                                    <w:rFonts w:ascii="Arial" w:hAnsi="Arial" w:cs="Arial"/>
                                    <w:b/>
                                    <w:color w:val="FFFFFF" w:themeColor="light1"/>
                                    <w:kern w:val="24"/>
                                    <w:sz w:val="12"/>
                                    <w:szCs w:val="12"/>
                                  </w:rPr>
                                  <w:t>Gabinete</w:t>
                                </w:r>
                              </w:p>
                            </w:txbxContent>
                          </wps:txbx>
                          <wps:bodyPr rot="0" vert="horz" wrap="square" lIns="99568" tIns="99568" rIns="99568" bIns="99568" anchor="ctr" anchorCtr="0" upright="1">
                            <a:noAutofit/>
                          </wps:bodyPr>
                        </wps:wsp>
                      </wpg:grpSp>
                      <wpg:grpSp>
                        <wpg:cNvPr id="59395" name="14 Grupo"/>
                        <wpg:cNvGrpSpPr>
                          <a:grpSpLocks/>
                        </wpg:cNvGrpSpPr>
                        <wpg:grpSpPr bwMode="auto">
                          <a:xfrm>
                            <a:off x="12471" y="35926"/>
                            <a:ext cx="23967" cy="23712"/>
                            <a:chOff x="12547" y="35926"/>
                            <a:chExt cx="19273" cy="23712"/>
                          </a:xfrm>
                        </wpg:grpSpPr>
                        <wps:wsp>
                          <wps:cNvPr id="59396" name="15 Circular"/>
                          <wps:cNvSpPr>
                            <a:spLocks/>
                          </wps:cNvSpPr>
                          <wps:spPr bwMode="auto">
                            <a:xfrm rot="16200000">
                              <a:off x="12004" y="39825"/>
                              <a:ext cx="20356" cy="19270"/>
                            </a:xfrm>
                            <a:custGeom>
                              <a:avLst/>
                              <a:gdLst>
                                <a:gd name="T0" fmla="*/ 0 w 1759712"/>
                                <a:gd name="T1" fmla="*/ 17597 h 1759712"/>
                                <a:gd name="T2" fmla="*/ 19860 w 1759712"/>
                                <a:gd name="T3" fmla="*/ 0 h 1759712"/>
                                <a:gd name="T4" fmla="*/ 19860 w 1759712"/>
                                <a:gd name="T5" fmla="*/ 17597 h 1759712"/>
                                <a:gd name="T6" fmla="*/ 0 w 1759712"/>
                                <a:gd name="T7" fmla="*/ 17597 h 17597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59712" h="1759712">
                                  <a:moveTo>
                                    <a:pt x="0" y="1759712"/>
                                  </a:moveTo>
                                  <a:cubicBezTo>
                                    <a:pt x="0" y="787850"/>
                                    <a:pt x="787850" y="0"/>
                                    <a:pt x="1759712" y="0"/>
                                  </a:cubicBezTo>
                                  <a:lnTo>
                                    <a:pt x="1759712" y="1759712"/>
                                  </a:lnTo>
                                  <a:lnTo>
                                    <a:pt x="0" y="1759712"/>
                                  </a:lnTo>
                                  <a:close/>
                                </a:path>
                              </a:pathLst>
                            </a:custGeom>
                            <a:solidFill>
                              <a:schemeClr val="accent1">
                                <a:lumMod val="100000"/>
                                <a:lumOff val="0"/>
                              </a:schemeClr>
                            </a:solidFill>
                            <a:ln w="25400">
                              <a:solidFill>
                                <a:schemeClr val="lt1">
                                  <a:lumMod val="100000"/>
                                  <a:lumOff val="0"/>
                                </a:schemeClr>
                              </a:solidFill>
                              <a:round/>
                              <a:headEnd/>
                              <a:tailEnd/>
                            </a:ln>
                          </wps:spPr>
                          <wps:bodyPr rot="0" vert="horz" wrap="square" lIns="91440" tIns="45720" rIns="91440" bIns="45720" anchor="t" anchorCtr="0" upright="1">
                            <a:noAutofit/>
                          </wps:bodyPr>
                        </wps:wsp>
                        <wps:wsp>
                          <wps:cNvPr id="59397" name="Circular 4"/>
                          <wps:cNvSpPr>
                            <a:spLocks noChangeArrowheads="1"/>
                          </wps:cNvSpPr>
                          <wps:spPr bwMode="auto">
                            <a:xfrm>
                              <a:off x="16220" y="35926"/>
                              <a:ext cx="15600" cy="19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55054" w14:textId="77777777" w:rsidR="00082EBA" w:rsidRPr="003876D6" w:rsidRDefault="00082EBA" w:rsidP="00416B9C">
                                <w:pPr>
                                  <w:pStyle w:val="NormalWeb"/>
                                  <w:spacing w:before="0" w:beforeAutospacing="0" w:after="118" w:afterAutospacing="0" w:line="216" w:lineRule="auto"/>
                                  <w:rPr>
                                    <w:rFonts w:ascii="Arial" w:hAnsi="Arial" w:cs="Arial"/>
                                    <w:b/>
                                    <w:sz w:val="12"/>
                                    <w:szCs w:val="12"/>
                                  </w:rPr>
                                </w:pPr>
                                <w:r w:rsidRPr="003876D6">
                                  <w:rPr>
                                    <w:rFonts w:ascii="Arial" w:hAnsi="Arial" w:cs="Arial"/>
                                    <w:b/>
                                    <w:color w:val="FFFFFF" w:themeColor="light1"/>
                                    <w:kern w:val="24"/>
                                    <w:sz w:val="12"/>
                                    <w:szCs w:val="12"/>
                                  </w:rPr>
                                  <w:t>4 Integración del PLADIEM</w:t>
                                </w:r>
                              </w:p>
                            </w:txbxContent>
                          </wps:txbx>
                          <wps:bodyPr rot="0" vert="horz" wrap="square" lIns="99568" tIns="99568" rIns="99568" bIns="99568" anchor="ctr" anchorCtr="0" upright="1">
                            <a:noAutofit/>
                          </wps:bodyPr>
                        </wps:wsp>
                      </wpg:grpSp>
                    </wpg:wgp>
                  </a:graphicData>
                </a:graphic>
              </wp:inline>
            </w:drawing>
          </mc:Choice>
          <mc:Fallback>
            <w:pict>
              <v:group w14:anchorId="3DD045BA" id="19 Grupo" o:spid="_x0000_s1027" style="width:231.05pt;height:158.4pt;mso-position-horizontal-relative:char;mso-position-vertical-relative:line" coordorigin="12470,19721" coordsize="67924,40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">
                <v:shape id="Picture 2" o:spid="_x0000_s1028" type="#_x0000_t75" alt="Logo_Foros_PLADIEM" style="position:absolute;left:35158;top:29421;width:22739;height:19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8ofLCAAAA2wAAAA8AAABkcnMvZG93bnJldi54bWxEj09rAjEUxO+C3yE8wZtmFVncrVFEEYT2&#10;Uv/cH5vX3dXkZUmibr99Uyj0OMzMb5jVprdGPMmH1rGC2TQDQVw53XKt4HI+TJYgQkTWaByTgm8K&#10;sFkPBysstXvxJz1PsRYJwqFEBU2MXSllqBqyGKauI07el/MWY5K+ltrjK8GtkfMsy6XFltNCgx3t&#10;Gqrup4dVcM3J4Iej911R7PNLsbzevDRKjUf99g1EpD7+h//aR61gvoDfL+k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KHywgAAANsAAAAPAAAAAAAAAAAAAAAAAJ8C&#10;AABkcnMvZG93bnJldi54bWxQSwUGAAAAAAQABAD3AAAAjgMAAAAA&#10;">
                  <v:imagedata r:id="rId21" o:title="Logo_Foros_PLADIEM"/>
                </v:shape>
                <v:group id="5 Grupo" o:spid="_x0000_s1029" style="position:absolute;left:12470;top:20002;width:25390;height:18571" coordorigin="12546,20002" coordsize="20416,18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6 Circular" o:spid="_x0000_s1030" style="position:absolute;left:12546;top:20002;width:19272;height:18035;visibility:visible;mso-wrap-style:square;v-text-anchor:top" coordsize="1759712,175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5uEcMA&#10;AADbAAAADwAAAGRycy9kb3ducmV2LnhtbESPQWuDQBSE74X+h+UVcqtrPYjYrKHYlnrJwSQ/4NV9&#10;VYn7Vtxtovn12UAgx2FmvmHWm9kM4kST6y0reItiEMSN1T23Cg7779cMhPPIGgfLpGAhB5vi+WmN&#10;ubZnrum0860IEHY5Kui8H3MpXdORQRfZkTh4f3Yy6IOcWqknPAe4GWQSx6k02HNY6HCksqPmuPs3&#10;Ctq6rNPjJ/4k7vdSZV9xyct2UWr1Mn+8g/A0+0f43q60giSF25fwA2R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5uEcMAAADbAAAADwAAAAAAAAAAAAAAAACYAgAAZHJzL2Rv&#10;d25yZXYueG1sUEsFBgAAAAAEAAQA9QAAAIgDAAAAAA==&#10;" path="m,1759712c,787850,787850,,1759712,r,1759712l,1759712xe" fillcolor="#4f81bd [3204]" strokecolor="white [3201]" strokeweight="2pt">
                    <v:path arrowok="t" o:connecttype="custom" o:connectlocs="0,180;193,0;193,180;0,180" o:connectangles="0,0,0,0"/>
                  </v:shape>
                  <v:rect id="Circular 4" o:spid="_x0000_s1031" style="position:absolute;left:16071;top:23204;width:16891;height:15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1wncQA&#10;AADbAAAADwAAAGRycy9kb3ducmV2LnhtbESPQWvCQBSE70L/w/IKXqRuasGW1FVKQbAeRFPB6yP7&#10;TIK7b0P2GdN/7xYKPQ4z8w2zWA3eqZ662AQ28DzNQBGXwTZcGTh+r5/eQEVBtugCk4EfirBaPowW&#10;mNtw4wP1hVQqQTjmaKAWaXOtY1mTxzgNLXHyzqHzKEl2lbYd3hLcOz3Lsrn22HBaqLGlz5rKS3H1&#10;BvYTuZzcIOG863euedlmpy97NGb8OHy8gxIa5D/8195YA7NX+P2Sfo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tcJ3EAAAA2wAAAA8AAAAAAAAAAAAAAAAAmAIAAGRycy9k&#10;b3ducmV2LnhtbFBLBQYAAAAABAAEAPUAAACJAwAAAAA=&#10;" filled="f" stroked="f">
                    <v:textbox inset="7.84pt,7.84pt,7.84pt,7.84pt">
                      <w:txbxContent>
                        <w:p w14:paraId="7160CE72" w14:textId="77777777" w:rsidR="00082EBA" w:rsidRPr="003876D6" w:rsidRDefault="00082EBA" w:rsidP="007B1707">
                          <w:pPr>
                            <w:pStyle w:val="NormalWeb"/>
                            <w:spacing w:before="0" w:beforeAutospacing="0" w:after="118" w:afterAutospacing="0" w:line="216" w:lineRule="auto"/>
                            <w:jc w:val="center"/>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1 Perspectiva de Gobierno</w:t>
                          </w:r>
                        </w:p>
                        <w:p w14:paraId="29DCEA92" w14:textId="77777777" w:rsidR="00082EBA" w:rsidRPr="003876D6" w:rsidRDefault="00082EBA" w:rsidP="007B1707">
                          <w:pPr>
                            <w:pStyle w:val="NormalWeb"/>
                            <w:spacing w:before="0" w:beforeAutospacing="0" w:after="118" w:afterAutospacing="0" w:line="216" w:lineRule="auto"/>
                            <w:jc w:val="center"/>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 xml:space="preserve">* Nuevo Comienzo </w:t>
                          </w:r>
                        </w:p>
                        <w:p w14:paraId="1B1F9FF5" w14:textId="77777777" w:rsidR="00082EBA" w:rsidRPr="003876D6" w:rsidRDefault="00082EBA" w:rsidP="007B1707">
                          <w:pPr>
                            <w:pStyle w:val="NormalWeb"/>
                            <w:spacing w:before="0" w:beforeAutospacing="0" w:after="118" w:afterAutospacing="0" w:line="216" w:lineRule="auto"/>
                            <w:jc w:val="center"/>
                            <w:rPr>
                              <w:rFonts w:ascii="Arial" w:hAnsi="Arial" w:cs="Arial"/>
                              <w:b/>
                              <w:sz w:val="12"/>
                              <w:szCs w:val="12"/>
                            </w:rPr>
                          </w:pPr>
                          <w:r w:rsidRPr="003876D6">
                            <w:rPr>
                              <w:rFonts w:ascii="Arial" w:hAnsi="Arial" w:cs="Arial"/>
                              <w:b/>
                              <w:color w:val="FFFFFF" w:themeColor="light1"/>
                              <w:kern w:val="24"/>
                              <w:sz w:val="12"/>
                              <w:szCs w:val="12"/>
                            </w:rPr>
                            <w:t>* Compromisos de campaña</w:t>
                          </w:r>
                        </w:p>
                      </w:txbxContent>
                    </v:textbox>
                  </v:rect>
                </v:group>
                <v:group id="8 Grupo" o:spid="_x0000_s1032" style="position:absolute;left:50995;top:19721;width:29399;height:19801" coordorigin="52739,19721" coordsize="22630,19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9 Circular" o:spid="_x0000_s1033" style="position:absolute;left:57016;top:19406;width:18037;height:18668;rotation:90;visibility:visible;mso-wrap-style:square;v-text-anchor:top" coordsize="1759712,1704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Ou8QA&#10;AADbAAAADwAAAGRycy9kb3ducmV2LnhtbESPQWsCMRSE70L/Q3iF3jSrUNGtcVGhUPHSqgePr5vX&#10;7NbNy5LEdf33plDwOMzMN8yi6G0jOvKhdqxgPMpAEJdO12wUHA/vwxmIEJE1No5JwY0CFMunwQJz&#10;7a78Rd0+GpEgHHJUUMXY5lKGsiKLYeRa4uT9OG8xJumN1B6vCW4bOcmyqbRYc1qosKVNReV5f7EK&#10;yqnZXm6zNfvdt/193a2cqT9PSr0896s3EJH6+Aj/tz+0gskc/r6k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kjrvEAAAA2wAAAA8AAAAAAAAAAAAAAAAAmAIAAGRycy9k&#10;b3ducmV2LnhtbFBLBQYAAAAABAAEAPUAAACJAwAAAAA=&#10;" path="m,1704721c,763230,787850,,1759712,r,1704721l,1704721xe" fillcolor="#4f81bd [3204]" strokecolor="white [3201]" strokeweight="2pt">
                    <v:path arrowok="t" o:connecttype="custom" o:connectlocs="0,187;180,0;180,187;0,187" o:connectangles="0,0,0,0"/>
                  </v:shape>
                  <v:rect id="Circular 4" o:spid="_x0000_s1034" style="position:absolute;left:52739;top:20091;width:19701;height:19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NMAA&#10;AADbAAAADwAAAGRycy9kb3ducmV2LnhtbERPS2vCQBC+F/wPywi9FN1YoUh0FREE7UF8gdchOybB&#10;3dmQHWP677uHQo8f33ux6r1THbWxDmxgMs5AERfB1lwauF62oxmoKMgWXWAy8EMRVsvB2wJzG158&#10;ou4spUohHHM0UIk0udaxqMhjHIeGOHH30HqUBNtS2xZfKdw7/ZllX9pjzamhwoY2FRWP89MbOH7I&#10;4+Z6CfdDd3D19Du77e3VmPdhv56DEurlX/zn3lkD07Q+fUk/QC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1+NMAAAADbAAAADwAAAAAAAAAAAAAAAACYAgAAZHJzL2Rvd25y&#10;ZXYueG1sUEsFBgAAAAAEAAQA9QAAAIUDAAAAAA==&#10;" filled="f" stroked="f">
                    <v:textbox inset="7.84pt,7.84pt,7.84pt,7.84pt">
                      <w:txbxContent>
                        <w:p w14:paraId="1AE54CBE" w14:textId="77777777" w:rsidR="00082EBA" w:rsidRPr="003876D6" w:rsidRDefault="00082EBA" w:rsidP="007B1707">
                          <w:pPr>
                            <w:pStyle w:val="NormalWeb"/>
                            <w:spacing w:before="0" w:beforeAutospacing="0" w:after="118" w:afterAutospacing="0" w:line="216" w:lineRule="auto"/>
                            <w:jc w:val="center"/>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 xml:space="preserve">2 Orientación                 Estratégica </w:t>
                          </w:r>
                        </w:p>
                        <w:p w14:paraId="69BDC5BA" w14:textId="77777777" w:rsidR="00082EBA" w:rsidRPr="003876D6" w:rsidRDefault="00082EBA" w:rsidP="007B1707">
                          <w:pPr>
                            <w:pStyle w:val="NormalWeb"/>
                            <w:spacing w:before="0" w:beforeAutospacing="0" w:after="118" w:afterAutospacing="0" w:line="216" w:lineRule="auto"/>
                            <w:jc w:val="center"/>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 xml:space="preserve">  * Identificación y construcción de prioridades transversales</w:t>
                          </w:r>
                        </w:p>
                      </w:txbxContent>
                    </v:textbox>
                  </v:rect>
                </v:group>
                <v:group id="11 Grupo" o:spid="_x0000_s1035" style="position:absolute;left:54919;top:34431;width:25473;height:25566" coordorigin="55817,34431" coordsize="20240,25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12 Circular" o:spid="_x0000_s1036" style="position:absolute;left:56787;top:39067;width:19270;height:19593;rotation:180;visibility:visible;mso-wrap-style:square;v-text-anchor:top" coordsize="1759712,175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eVsYA&#10;AADeAAAADwAAAGRycy9kb3ducmV2LnhtbESPQUvDQBSE70L/w/IEL8VurFiatNsiUsGLYFvp+ZF9&#10;TYLZt+nuSxP/vSsIHoeZ+YZZb0fXqiuF2Hg28DDLQBGX3jZcGfg8vt4vQUVBtth6JgPfFGG7mdys&#10;sbB+4D1dD1KpBOFYoIFapCu0jmVNDuPMd8TJO/vgUJIMlbYBhwR3rZ5n2UI7bDgt1NjRS03l16F3&#10;BjJ3Pn3IsJv2S54Svvf57hLEmLvb8XkFSmiU//Bf+80aeMof8zn83k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eVsYAAADeAAAADwAAAAAAAAAAAAAAAACYAgAAZHJz&#10;L2Rvd25yZXYueG1sUEsFBgAAAAAEAAQA9QAAAIsDAAAAAA==&#10;" path="m,1759712c,787850,787850,,1759712,r,1759712l,1759712xe" fillcolor="#4f81bd [3204]" strokecolor="white [3201]" strokeweight="2pt">
                    <v:path arrowok="t" o:connecttype="custom" o:connectlocs="0,213;193,0;193,213;0,213" o:connectangles="0,0,0,0"/>
                  </v:shape>
                  <v:rect id="Circular 4" o:spid="_x0000_s1037" style="position:absolute;left:55817;top:34431;width:19479;height:25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QIscA&#10;AADeAAAADwAAAGRycy9kb3ducmV2LnhtbESPQUvDQBSE74L/YXmCF7EbrUoTuy0iCNVD0bSQ6yP7&#10;moTuvg3ZZ5r+e1cQPA4z8w2zXE/eqZGG2AU2cDfLQBHXwXbcGNjv3m4XoKIgW3SBycCZIqxXlxdL&#10;LGw48ReNpTQqQTgWaKAV6QutY92SxzgLPXHyDmHwKEkOjbYDnhLcO32fZU/aY8dpocWeXluqj+W3&#10;N/B5I8fKTRIO23HruvlHVr3bvTHXV9PLMyihSf7Df+2NNfCYz/MH+L2Tro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j0CLHAAAA3gAAAA8AAAAAAAAAAAAAAAAAmAIAAGRy&#10;cy9kb3ducmV2LnhtbFBLBQYAAAAABAAEAPUAAACMAwAAAAA=&#10;" filled="f" stroked="f">
                    <v:textbox inset="7.84pt,7.84pt,7.84pt,7.84pt">
                      <w:txbxContent>
                        <w:p w14:paraId="20302B6C" w14:textId="77777777" w:rsidR="00082EBA" w:rsidRDefault="00082EBA" w:rsidP="007B1707">
                          <w:pPr>
                            <w:pStyle w:val="NormalWeb"/>
                            <w:spacing w:before="0" w:beforeAutospacing="0" w:after="0" w:afterAutospacing="0" w:line="216" w:lineRule="auto"/>
                            <w:jc w:val="center"/>
                            <w:rPr>
                              <w:rFonts w:ascii="Arial" w:hAnsi="Arial" w:cs="Arial"/>
                              <w:color w:val="FFFFFF" w:themeColor="light1"/>
                              <w:kern w:val="24"/>
                              <w:sz w:val="16"/>
                              <w:szCs w:val="16"/>
                            </w:rPr>
                          </w:pPr>
                        </w:p>
                        <w:p w14:paraId="72FE8E98" w14:textId="77777777" w:rsidR="00082EBA" w:rsidRPr="003876D6" w:rsidRDefault="00082EBA" w:rsidP="007B1707">
                          <w:pPr>
                            <w:pStyle w:val="NormalWeb"/>
                            <w:spacing w:before="0" w:beforeAutospacing="0" w:after="0" w:afterAutospacing="0" w:line="216" w:lineRule="auto"/>
                            <w:jc w:val="center"/>
                            <w:rPr>
                              <w:rFonts w:ascii="Arial" w:hAnsi="Arial" w:cs="Arial"/>
                              <w:b/>
                              <w:color w:val="FFFFFF" w:themeColor="light1"/>
                              <w:kern w:val="24"/>
                              <w:sz w:val="16"/>
                              <w:szCs w:val="16"/>
                            </w:rPr>
                          </w:pPr>
                        </w:p>
                        <w:p w14:paraId="2AB15E8C" w14:textId="77777777" w:rsidR="00082EBA" w:rsidRPr="003876D6" w:rsidRDefault="00082EBA" w:rsidP="007B1707">
                          <w:pPr>
                            <w:pStyle w:val="NormalWeb"/>
                            <w:spacing w:before="0" w:beforeAutospacing="0" w:after="0" w:afterAutospacing="0" w:line="216" w:lineRule="auto"/>
                            <w:jc w:val="center"/>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3 Consulta Pública</w:t>
                          </w:r>
                        </w:p>
                        <w:p w14:paraId="7184E81D" w14:textId="77777777" w:rsidR="00082EBA" w:rsidRPr="003876D6" w:rsidRDefault="00082EBA" w:rsidP="007B1707">
                          <w:pPr>
                            <w:pStyle w:val="NormalWeb"/>
                            <w:spacing w:before="0" w:beforeAutospacing="0" w:after="0" w:afterAutospacing="0" w:line="216" w:lineRule="auto"/>
                            <w:jc w:val="center"/>
                            <w:rPr>
                              <w:rFonts w:ascii="Arial" w:hAnsi="Arial" w:cs="Arial"/>
                              <w:b/>
                              <w:color w:val="FFFFFF" w:themeColor="light1"/>
                              <w:kern w:val="24"/>
                              <w:sz w:val="12"/>
                              <w:szCs w:val="12"/>
                            </w:rPr>
                          </w:pPr>
                        </w:p>
                        <w:p w14:paraId="12C996C6" w14:textId="77777777" w:rsidR="00082EBA" w:rsidRPr="003876D6" w:rsidRDefault="00082EBA" w:rsidP="00EE70A4">
                          <w:pPr>
                            <w:pStyle w:val="NormalWeb"/>
                            <w:spacing w:before="0" w:beforeAutospacing="0" w:after="0" w:afterAutospacing="0"/>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*Foros de consulta y participación ciudadana</w:t>
                          </w:r>
                        </w:p>
                        <w:p w14:paraId="5AA9F5AE" w14:textId="77777777" w:rsidR="00082EBA" w:rsidRPr="003876D6" w:rsidRDefault="00082EBA" w:rsidP="007B1707">
                          <w:pPr>
                            <w:pStyle w:val="NormalWeb"/>
                            <w:spacing w:before="0" w:beforeAutospacing="0" w:after="0" w:afterAutospacing="0"/>
                            <w:rPr>
                              <w:rFonts w:ascii="Arial" w:hAnsi="Arial" w:cs="Arial"/>
                              <w:b/>
                              <w:color w:val="FFFFFF" w:themeColor="light1"/>
                              <w:kern w:val="24"/>
                              <w:sz w:val="12"/>
                              <w:szCs w:val="12"/>
                            </w:rPr>
                          </w:pPr>
                          <w:r w:rsidRPr="003876D6">
                            <w:rPr>
                              <w:rFonts w:ascii="Arial" w:hAnsi="Arial" w:cs="Arial"/>
                              <w:b/>
                              <w:color w:val="FFFFFF" w:themeColor="light1"/>
                              <w:kern w:val="24"/>
                              <w:sz w:val="12"/>
                              <w:szCs w:val="12"/>
                            </w:rPr>
                            <w:t xml:space="preserve">*Talleres de especialistas y sesiones de </w:t>
                          </w:r>
                        </w:p>
                        <w:p w14:paraId="4543068D" w14:textId="77777777" w:rsidR="00082EBA" w:rsidRPr="003876D6" w:rsidRDefault="00082EBA" w:rsidP="007B1707">
                          <w:pPr>
                            <w:pStyle w:val="NormalWeb"/>
                            <w:spacing w:before="0" w:beforeAutospacing="0" w:after="0" w:afterAutospacing="0"/>
                            <w:rPr>
                              <w:rFonts w:ascii="Arial" w:hAnsi="Arial" w:cs="Arial"/>
                              <w:b/>
                              <w:sz w:val="12"/>
                              <w:szCs w:val="12"/>
                            </w:rPr>
                          </w:pPr>
                          <w:r w:rsidRPr="003876D6">
                            <w:rPr>
                              <w:rFonts w:ascii="Arial" w:hAnsi="Arial" w:cs="Arial"/>
                              <w:b/>
                              <w:color w:val="FFFFFF" w:themeColor="light1"/>
                              <w:kern w:val="24"/>
                              <w:sz w:val="12"/>
                              <w:szCs w:val="12"/>
                            </w:rPr>
                            <w:t>Gabinete</w:t>
                          </w:r>
                        </w:p>
                      </w:txbxContent>
                    </v:textbox>
                  </v:rect>
                </v:group>
                <v:group id="14 Grupo" o:spid="_x0000_s1038" style="position:absolute;left:12471;top:35926;width:23967;height:23712" coordorigin="12547,35926" coordsize="19273,23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5BnscAAADeAAAADwAAAGRycy9kb3ducmV2LnhtbESPQWvCQBSE74X+h+UV&#10;vNVNKik1dRURFQ8iGAult0f2mQSzb0N2TeK/dwWhx2FmvmFmi8HUoqPWVZYVxOMIBHFudcWFgp/T&#10;5v0LhPPIGmvLpOBGDhbz15cZptr2fKQu84UIEHYpKii9b1IpXV6SQTe2DXHwzrY16INsC6lb7APc&#10;1PIjij6lwYrDQokNrUrKL9nVKNj22C8n8brbX86r298pOfzuY1Jq9DYsv0F4Gvx/+NneaQXJdDJN&#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45BnscAAADe&#10;AAAADwAAAAAAAAAAAAAAAACqAgAAZHJzL2Rvd25yZXYueG1sUEsFBgAAAAAEAAQA+gAAAJ4DAAAA&#10;AA==&#10;">
                  <v:shape id="15 Circular" o:spid="_x0000_s1039" style="position:absolute;left:12004;top:39825;width:20356;height:19270;rotation:-90;visibility:visible;mso-wrap-style:square;v-text-anchor:top" coordsize="1759712,175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bG8cA&#10;AADeAAAADwAAAGRycy9kb3ducmV2LnhtbESPQU8CMRSE7yb+h+aZeJOuohtYKEQBE04kAuH82D63&#10;K9vXTVt3139vTUg8Tmbmm8x8OdhGdORD7VjB4ygDQVw6XXOl4Hh4f5iACBFZY+OYFPxQgOXi9maO&#10;hXY9f1C3j5VIEA4FKjAxtoWUoTRkMYxcS5y8T+ctxiR9JbXHPsFtI5+yLJcWa04LBltaGSov+2+r&#10;YFebk/vahl2+7vrLpHw7Pp/9Rqn7u+F1BiLSEP/D1/ZWK3iZjqc5/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xGxvHAAAA3gAAAA8AAAAAAAAAAAAAAAAAmAIAAGRy&#10;cy9kb3ducmV2LnhtbFBLBQYAAAAABAAEAPUAAACMAwAAAAA=&#10;" path="m,1759712c,787850,787850,,1759712,r,1759712l,1759712xe" fillcolor="#4f81bd [3204]" strokecolor="white [3201]" strokeweight="2pt">
                    <v:path arrowok="t" o:connecttype="custom" o:connectlocs="0,193;230,0;230,193;0,193" o:connectangles="0,0,0,0"/>
                  </v:shape>
                  <v:rect id="Circular 4" o:spid="_x0000_s1040" style="position:absolute;left:16220;top:35926;width:15600;height:19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OVccA&#10;AADeAAAADwAAAGRycy9kb3ducmV2LnhtbESPQUvDQBSE74L/YXmCF7EbLWoTuy0iCNVD0bSQ6yP7&#10;moTuvg3ZZ5r+e1cQPA4z8w2zXE/eqZGG2AU2cDfLQBHXwXbcGNjv3m4XoKIgW3SBycCZIqxXlxdL&#10;LGw48ReNpTQqQTgWaKAV6QutY92SxzgLPXHyDmHwKEkOjbYDnhLcO32fZY/aY8dpocWeXluqj+W3&#10;N/B5I8fKTRIO23HruvlHVr3bvTHXV9PLMyihSf7Df+2NNfCQz/Mn+L2TroB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xTlXHAAAA3gAAAA8AAAAAAAAAAAAAAAAAmAIAAGRy&#10;cy9kb3ducmV2LnhtbFBLBQYAAAAABAAEAPUAAACMAwAAAAA=&#10;" filled="f" stroked="f">
                    <v:textbox inset="7.84pt,7.84pt,7.84pt,7.84pt">
                      <w:txbxContent>
                        <w:p w14:paraId="59C55054" w14:textId="77777777" w:rsidR="00082EBA" w:rsidRPr="003876D6" w:rsidRDefault="00082EBA" w:rsidP="00416B9C">
                          <w:pPr>
                            <w:pStyle w:val="NormalWeb"/>
                            <w:spacing w:before="0" w:beforeAutospacing="0" w:after="118" w:afterAutospacing="0" w:line="216" w:lineRule="auto"/>
                            <w:rPr>
                              <w:rFonts w:ascii="Arial" w:hAnsi="Arial" w:cs="Arial"/>
                              <w:b/>
                              <w:sz w:val="12"/>
                              <w:szCs w:val="12"/>
                            </w:rPr>
                          </w:pPr>
                          <w:r w:rsidRPr="003876D6">
                            <w:rPr>
                              <w:rFonts w:ascii="Arial" w:hAnsi="Arial" w:cs="Arial"/>
                              <w:b/>
                              <w:color w:val="FFFFFF" w:themeColor="light1"/>
                              <w:kern w:val="24"/>
                              <w:sz w:val="12"/>
                              <w:szCs w:val="12"/>
                            </w:rPr>
                            <w:t>4 Integración del PLADIEM</w:t>
                          </w:r>
                        </w:p>
                      </w:txbxContent>
                    </v:textbox>
                  </v:rect>
                </v:group>
                <w10:anchorlock/>
              </v:group>
            </w:pict>
          </mc:Fallback>
        </mc:AlternateContent>
      </w:r>
      <w:r w:rsidRPr="001E7327">
        <w:rPr>
          <w:rFonts w:ascii="GalanoGrotesque-Medium" w:hAnsi="GalanoGrotesque-Medium" w:cs="Arial"/>
          <w:b/>
          <w:noProof/>
        </w:rPr>
        <w:t xml:space="preserve"> </w:t>
      </w:r>
    </w:p>
    <w:p w14:paraId="726D0B2E" w14:textId="77777777" w:rsidR="007B1707" w:rsidRPr="003876D6" w:rsidRDefault="007B1707" w:rsidP="00933B38">
      <w:pPr>
        <w:spacing w:after="240" w:line="180" w:lineRule="exact"/>
        <w:jc w:val="center"/>
        <w:rPr>
          <w:rFonts w:ascii="GalanoGrotesque-Medium" w:hAnsi="GalanoGrotesque-Medium" w:cs="GalanoGrotesque-Medium"/>
          <w:color w:val="414142"/>
          <w:sz w:val="14"/>
          <w:szCs w:val="14"/>
        </w:rPr>
      </w:pPr>
      <w:r w:rsidRPr="003876D6">
        <w:rPr>
          <w:rFonts w:ascii="GalanoGrotesque-Medium" w:hAnsi="GalanoGrotesque-Medium" w:cs="GalanoGrotesque-Medium"/>
          <w:color w:val="414142"/>
          <w:sz w:val="14"/>
          <w:szCs w:val="14"/>
        </w:rPr>
        <w:t>Fuente: Elaboración propia, Coordinación General de Gabinete y Planeación del Gobierno de Michoacán.</w:t>
      </w:r>
    </w:p>
    <w:p w14:paraId="5C52E962" w14:textId="77777777" w:rsidR="00416B9C" w:rsidRPr="003451BA" w:rsidRDefault="00416B9C" w:rsidP="005258BB">
      <w:pPr>
        <w:pStyle w:val="Prrafodelista"/>
        <w:numPr>
          <w:ilvl w:val="0"/>
          <w:numId w:val="14"/>
        </w:numPr>
        <w:tabs>
          <w:tab w:val="clear" w:pos="720"/>
        </w:tabs>
        <w:spacing w:after="160" w:line="260" w:lineRule="exact"/>
        <w:ind w:left="426" w:hanging="426"/>
        <w:jc w:val="both"/>
        <w:rPr>
          <w:rFonts w:ascii="MyriadPro-Bold" w:hAnsi="MyriadPro-Bold" w:cs="MyriadPro-Bold"/>
          <w:b/>
          <w:bCs/>
          <w:color w:val="414142"/>
          <w:sz w:val="28"/>
        </w:rPr>
      </w:pPr>
      <w:r w:rsidRPr="003451BA">
        <w:rPr>
          <w:rFonts w:ascii="MyriadPro-Bold" w:hAnsi="MyriadPro-Bold" w:cs="MyriadPro-Bold"/>
          <w:b/>
          <w:bCs/>
          <w:color w:val="414142"/>
          <w:sz w:val="28"/>
        </w:rPr>
        <w:t>Fase 1: Perspectiva de Gobierno</w:t>
      </w:r>
    </w:p>
    <w:p w14:paraId="73D0303C" w14:textId="77777777" w:rsidR="00416B9C" w:rsidRPr="002E5E89" w:rsidRDefault="00416B9C" w:rsidP="00204156">
      <w:pPr>
        <w:spacing w:after="160" w:line="240" w:lineRule="auto"/>
        <w:jc w:val="both"/>
        <w:rPr>
          <w:rFonts w:ascii="MyriadPro-Regular" w:hAnsi="MyriadPro-Regular" w:cs="MyriadPro-Regular"/>
          <w:color w:val="414142"/>
          <w:sz w:val="20"/>
          <w:szCs w:val="20"/>
        </w:rPr>
      </w:pPr>
      <w:r w:rsidRPr="002E5E89">
        <w:rPr>
          <w:rFonts w:ascii="MyriadPro-Regular" w:hAnsi="MyriadPro-Regular" w:cs="MyriadPro-Regular"/>
          <w:color w:val="414142"/>
          <w:sz w:val="20"/>
          <w:szCs w:val="20"/>
        </w:rPr>
        <w:t>Desde el inicio de la contienda electoral se gestó un importante proceso democrático que arrojó un importante flujo de información</w:t>
      </w:r>
      <w:r w:rsidRPr="00204156">
        <w:rPr>
          <w:rFonts w:ascii="MyriadPro-Regular" w:hAnsi="MyriadPro-Regular" w:cs="MyriadPro-Regular"/>
          <w:color w:val="414142"/>
          <w:sz w:val="20"/>
          <w:szCs w:val="20"/>
        </w:rPr>
        <w:t xml:space="preserve"> </w:t>
      </w:r>
      <w:r w:rsidRPr="002E5E89">
        <w:rPr>
          <w:rFonts w:ascii="MyriadPro-Regular" w:hAnsi="MyriadPro-Regular" w:cs="MyriadPro-Regular"/>
          <w:color w:val="414142"/>
          <w:sz w:val="20"/>
          <w:szCs w:val="20"/>
        </w:rPr>
        <w:t>cuantitativa y cualitativa, permitiendo generar valor, pertinencia y congruencia a las</w:t>
      </w:r>
      <w:r w:rsidRPr="00204156">
        <w:rPr>
          <w:rFonts w:ascii="MyriadPro-Regular" w:hAnsi="MyriadPro-Regular" w:cs="MyriadPro-Regular"/>
          <w:color w:val="414142"/>
          <w:sz w:val="20"/>
          <w:szCs w:val="20"/>
        </w:rPr>
        <w:t xml:space="preserve"> </w:t>
      </w:r>
      <w:r w:rsidRPr="002E5E89">
        <w:rPr>
          <w:rFonts w:ascii="MyriadPro-Regular" w:hAnsi="MyriadPro-Regular" w:cs="MyriadPro-Regular"/>
          <w:color w:val="414142"/>
          <w:sz w:val="20"/>
          <w:szCs w:val="20"/>
        </w:rPr>
        <w:t xml:space="preserve">tareas y deberes de la Administración. En este proceso también se consolidó la coordinación con los tres órdenes de gobierno, de manera armónica y cooperativa, así como la posibilidad y factibilidad de integrar indicadores para su seguimiento y evaluación en el corto y mediano plazos. </w:t>
      </w:r>
    </w:p>
    <w:p w14:paraId="14D7739F" w14:textId="77777777" w:rsidR="00416B9C" w:rsidRPr="002E5E89" w:rsidRDefault="00416B9C" w:rsidP="00204156">
      <w:pPr>
        <w:spacing w:after="160" w:line="240" w:lineRule="auto"/>
        <w:jc w:val="both"/>
        <w:rPr>
          <w:rFonts w:ascii="MyriadPro-Regular" w:hAnsi="MyriadPro-Regular" w:cs="MyriadPro-Regular"/>
          <w:color w:val="414142"/>
          <w:sz w:val="20"/>
          <w:szCs w:val="20"/>
        </w:rPr>
      </w:pPr>
      <w:r w:rsidRPr="002E5E89">
        <w:rPr>
          <w:rFonts w:ascii="MyriadPro-Regular" w:hAnsi="MyriadPro-Regular" w:cs="MyriadPro-Regular"/>
          <w:color w:val="414142"/>
          <w:sz w:val="20"/>
          <w:szCs w:val="20"/>
        </w:rPr>
        <w:t>A partir de lo anterior, con la propuesta de la ciudadanía se construyó la perspectiva de la Administración actual, la cual se ha denominado un “Nuevo Comienzo”, que se plasmó en la plataforma electoral y que incluye los compromisos hechos a lo largo del proceso. Esta plataforma se enriqueció asimismo de planteamientos y propuestas de otros grupos políticos.</w:t>
      </w:r>
    </w:p>
    <w:p w14:paraId="287B5E20" w14:textId="77777777" w:rsidR="00204156" w:rsidRDefault="00204156">
      <w:pPr>
        <w:rPr>
          <w:rFonts w:ascii="GalanoGrotesque-Medium" w:eastAsia="Times New Roman" w:hAnsi="GalanoGrotesque-Medium" w:cs="Arial"/>
          <w:sz w:val="24"/>
          <w:szCs w:val="24"/>
          <w:lang w:val="es-ES" w:eastAsia="es-ES"/>
        </w:rPr>
      </w:pPr>
      <w:r>
        <w:rPr>
          <w:rFonts w:ascii="GalanoGrotesque-Medium" w:eastAsia="Times New Roman" w:hAnsi="GalanoGrotesque-Medium" w:cs="Arial"/>
          <w:sz w:val="24"/>
          <w:szCs w:val="24"/>
          <w:lang w:val="es-ES" w:eastAsia="es-ES"/>
        </w:rPr>
        <w:br w:type="page"/>
      </w:r>
    </w:p>
    <w:p w14:paraId="1FD6B06B" w14:textId="77777777" w:rsidR="00416B9C" w:rsidRPr="00825BEA" w:rsidRDefault="00416B9C" w:rsidP="00825BEA">
      <w:pPr>
        <w:pStyle w:val="Prrafodelista"/>
        <w:numPr>
          <w:ilvl w:val="0"/>
          <w:numId w:val="14"/>
        </w:numPr>
        <w:tabs>
          <w:tab w:val="clear" w:pos="720"/>
        </w:tabs>
        <w:spacing w:after="160"/>
        <w:ind w:left="425" w:hanging="425"/>
        <w:jc w:val="both"/>
        <w:rPr>
          <w:rFonts w:ascii="MyriadPro-Bold" w:hAnsi="MyriadPro-Bold" w:cs="MyriadPro-Bold"/>
          <w:b/>
          <w:bCs/>
          <w:color w:val="414142"/>
        </w:rPr>
      </w:pPr>
      <w:r w:rsidRPr="00825BEA">
        <w:rPr>
          <w:rFonts w:ascii="MyriadPro-Bold" w:hAnsi="MyriadPro-Bold" w:cs="MyriadPro-Bold"/>
          <w:b/>
          <w:bCs/>
          <w:color w:val="414142"/>
          <w:sz w:val="28"/>
        </w:rPr>
        <w:lastRenderedPageBreak/>
        <w:t>Fase 2: Orientación Estratégica</w:t>
      </w:r>
    </w:p>
    <w:p w14:paraId="0A3AB498" w14:textId="77777777" w:rsidR="00416B9C" w:rsidRPr="002E5E89" w:rsidRDefault="00416B9C" w:rsidP="00204156">
      <w:pPr>
        <w:spacing w:after="160" w:line="240" w:lineRule="auto"/>
        <w:jc w:val="both"/>
        <w:rPr>
          <w:rFonts w:ascii="MyriadPro-Regular" w:hAnsi="MyriadPro-Regular" w:cs="MyriadPro-Regular"/>
          <w:color w:val="414142"/>
          <w:sz w:val="20"/>
          <w:szCs w:val="20"/>
        </w:rPr>
      </w:pPr>
      <w:r w:rsidRPr="002E5E89">
        <w:rPr>
          <w:rFonts w:ascii="MyriadPro-Regular" w:hAnsi="MyriadPro-Regular" w:cs="MyriadPro-Regular"/>
          <w:color w:val="414142"/>
          <w:sz w:val="20"/>
          <w:szCs w:val="20"/>
        </w:rPr>
        <w:t>La orientación estratégica de las acciones de gobierno requiere de aplicar un conjunto de políticas públicas transversales que generen crecimiento y desarrollo integral e incluyente, y que cierren en definitiva la brecha de desigualdad e inequidad. La metodología para la formulación del PLADIEM posibilita incorporar elementos de carácter prioritario para la toma de decisiones en el corto y mediano plazos, así como sentar las bases para el largo plazo.</w:t>
      </w:r>
    </w:p>
    <w:p w14:paraId="092ED5C8" w14:textId="77777777" w:rsidR="00416B9C" w:rsidRPr="002E5E89" w:rsidRDefault="00416B9C" w:rsidP="00204156">
      <w:pPr>
        <w:spacing w:after="160" w:line="240" w:lineRule="auto"/>
        <w:jc w:val="both"/>
        <w:rPr>
          <w:rFonts w:ascii="MyriadPro-Regular" w:hAnsi="MyriadPro-Regular" w:cs="MyriadPro-Regular"/>
          <w:color w:val="414142"/>
          <w:sz w:val="20"/>
          <w:szCs w:val="20"/>
        </w:rPr>
      </w:pPr>
      <w:r w:rsidRPr="002E5E89">
        <w:rPr>
          <w:rFonts w:ascii="MyriadPro-Regular" w:hAnsi="MyriadPro-Regular" w:cs="MyriadPro-Regular"/>
          <w:color w:val="414142"/>
          <w:sz w:val="20"/>
          <w:szCs w:val="20"/>
        </w:rPr>
        <w:t>De esta forma, la perspectiva transversal que se adoptó para la elaboración del PLADIEM busca incrementar la eficiencia de la gestión pública a través de la sinergia</w:t>
      </w:r>
      <w:r w:rsidRPr="00204156">
        <w:rPr>
          <w:rFonts w:ascii="MyriadPro-Regular" w:hAnsi="MyriadPro-Regular" w:cs="MyriadPro-Regular"/>
          <w:color w:val="414142"/>
          <w:sz w:val="20"/>
          <w:szCs w:val="20"/>
        </w:rPr>
        <w:t xml:space="preserve"> </w:t>
      </w:r>
      <w:r w:rsidRPr="002E5E89">
        <w:rPr>
          <w:rFonts w:ascii="MyriadPro-Regular" w:hAnsi="MyriadPro-Regular" w:cs="MyriadPro-Regular"/>
          <w:color w:val="414142"/>
          <w:sz w:val="20"/>
          <w:szCs w:val="20"/>
        </w:rPr>
        <w:t>entre los distintos sectores de la sociedad michoacana, promoviendo nuevas formas de participación ciudadana y de cooperación entre los actores públicos, sociales y privados. La emergencia de las demandas sociales y de las mismas políticas públicas, demanda una visión integradora para orientar la acción pública.</w:t>
      </w:r>
    </w:p>
    <w:p w14:paraId="64CC13B9" w14:textId="77777777" w:rsidR="00416B9C" w:rsidRDefault="00416B9C" w:rsidP="00204156">
      <w:pPr>
        <w:spacing w:after="160" w:line="240" w:lineRule="auto"/>
        <w:jc w:val="both"/>
        <w:rPr>
          <w:rFonts w:ascii="MyriadPro-Regular" w:hAnsi="MyriadPro-Regular" w:cs="MyriadPro-Regular"/>
          <w:color w:val="414142"/>
          <w:sz w:val="20"/>
          <w:szCs w:val="20"/>
        </w:rPr>
      </w:pPr>
      <w:r w:rsidRPr="002E5E89">
        <w:rPr>
          <w:rFonts w:ascii="MyriadPro-Regular" w:hAnsi="MyriadPro-Regular" w:cs="MyriadPro-Regular"/>
          <w:color w:val="414142"/>
          <w:sz w:val="20"/>
          <w:szCs w:val="20"/>
        </w:rPr>
        <w:t>La gestión transversal se adoptó para atender de manera multidimensional, a través de las políticas públicas, los problemas y opiniones de los diversos actores para optimizar el uso de los recursos, de tal manera que se trabajó junto con las distintas instituciones y dependencias del gobierno estatal, federal y municipal, así como con los poderes legislativo y judicial, y la sociedad en su conjunto.</w:t>
      </w:r>
    </w:p>
    <w:p w14:paraId="5DD70DDC" w14:textId="77777777" w:rsidR="00416B9C" w:rsidRPr="002E5E89" w:rsidRDefault="00416B9C" w:rsidP="00204156">
      <w:pPr>
        <w:spacing w:after="160" w:line="240" w:lineRule="auto"/>
        <w:jc w:val="both"/>
        <w:rPr>
          <w:rFonts w:ascii="MyriadPro-Regular" w:hAnsi="MyriadPro-Regular" w:cs="MyriadPro-Regular"/>
          <w:color w:val="414142"/>
          <w:sz w:val="20"/>
          <w:szCs w:val="20"/>
        </w:rPr>
      </w:pPr>
      <w:r w:rsidRPr="002E5E89">
        <w:rPr>
          <w:rFonts w:ascii="MyriadPro-Regular" w:hAnsi="MyriadPro-Regular" w:cs="MyriadPro-Regular"/>
          <w:color w:val="414142"/>
          <w:sz w:val="20"/>
          <w:szCs w:val="20"/>
        </w:rPr>
        <w:t>La planeación estratégica implicó, a partir del análisis de la situación actual, formular objetivos que expresaran un escenario deseado, y así fue posible establecer el curso de acciones para su logro.</w:t>
      </w:r>
    </w:p>
    <w:p w14:paraId="1E3B9C5F" w14:textId="77777777" w:rsidR="009864B7" w:rsidRPr="00A00313" w:rsidRDefault="009864B7" w:rsidP="00204156">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A su vez, la definición de los objetivos estratégicos, los indicadores y las metas constituye el preámbulo para el plan operativo anual, base de la formulación programática presupuestal. Por tanto, el reconocimiento de las demandas</w:t>
      </w:r>
      <w:r w:rsidRPr="00204156">
        <w:rPr>
          <w:rFonts w:ascii="MyriadPro-Regular" w:hAnsi="MyriadPro-Regular" w:cs="MyriadPro-Regular"/>
          <w:color w:val="414142"/>
          <w:sz w:val="20"/>
          <w:szCs w:val="20"/>
        </w:rPr>
        <w:t xml:space="preserve"> </w:t>
      </w:r>
      <w:r w:rsidRPr="00A00313">
        <w:rPr>
          <w:rFonts w:ascii="MyriadPro-Regular" w:hAnsi="MyriadPro-Regular" w:cs="MyriadPro-Regular"/>
          <w:color w:val="414142"/>
          <w:sz w:val="20"/>
          <w:szCs w:val="20"/>
        </w:rPr>
        <w:t>sociales implica considerar sus múltiples dimensiones, para reconocer que la realidad es compleja y que se</w:t>
      </w:r>
      <w:r w:rsidRPr="00204156">
        <w:rPr>
          <w:rFonts w:ascii="MyriadPro-Regular" w:hAnsi="MyriadPro-Regular" w:cs="MyriadPro-Regular"/>
          <w:color w:val="414142"/>
          <w:sz w:val="20"/>
          <w:szCs w:val="20"/>
        </w:rPr>
        <w:t xml:space="preserve"> </w:t>
      </w:r>
      <w:r w:rsidRPr="00A00313">
        <w:rPr>
          <w:rFonts w:ascii="MyriadPro-Regular" w:hAnsi="MyriadPro-Regular" w:cs="MyriadPro-Regular"/>
          <w:color w:val="414142"/>
          <w:sz w:val="20"/>
          <w:szCs w:val="20"/>
        </w:rPr>
        <w:t xml:space="preserve">encuentra inserta en un proceso de globalización. </w:t>
      </w:r>
    </w:p>
    <w:p w14:paraId="6FEAAE1E" w14:textId="77777777" w:rsidR="00E46DD9" w:rsidRPr="00204156" w:rsidRDefault="00E46DD9" w:rsidP="00825BEA">
      <w:pPr>
        <w:pStyle w:val="Prrafodelista"/>
        <w:numPr>
          <w:ilvl w:val="0"/>
          <w:numId w:val="14"/>
        </w:numPr>
        <w:tabs>
          <w:tab w:val="clear" w:pos="720"/>
        </w:tabs>
        <w:spacing w:before="240" w:after="240"/>
        <w:ind w:left="426" w:hanging="426"/>
        <w:jc w:val="both"/>
        <w:rPr>
          <w:rFonts w:ascii="MyriadPro-Bold" w:hAnsi="MyriadPro-Bold" w:cs="MyriadPro-Bold"/>
          <w:b/>
          <w:bCs/>
          <w:color w:val="414142"/>
          <w:sz w:val="28"/>
        </w:rPr>
      </w:pPr>
      <w:r w:rsidRPr="00204156">
        <w:rPr>
          <w:rFonts w:ascii="MyriadPro-Bold" w:hAnsi="MyriadPro-Bold" w:cs="MyriadPro-Bold"/>
          <w:b/>
          <w:bCs/>
          <w:color w:val="414142"/>
          <w:sz w:val="28"/>
        </w:rPr>
        <w:t xml:space="preserve">Fase 3: Consulta Pública </w:t>
      </w:r>
    </w:p>
    <w:p w14:paraId="0FCDD635" w14:textId="77777777" w:rsidR="00532134" w:rsidRPr="00532134" w:rsidRDefault="00532134" w:rsidP="00532134">
      <w:pPr>
        <w:autoSpaceDE w:val="0"/>
        <w:autoSpaceDN w:val="0"/>
        <w:adjustRightInd w:val="0"/>
        <w:spacing w:after="160" w:line="240" w:lineRule="auto"/>
        <w:jc w:val="both"/>
        <w:rPr>
          <w:rFonts w:ascii="MyriadPro-Regular" w:hAnsi="MyriadPro-Regular" w:cs="MyriadPro-Regular"/>
          <w:color w:val="414142"/>
          <w:sz w:val="20"/>
          <w:szCs w:val="20"/>
        </w:rPr>
      </w:pPr>
      <w:r w:rsidRPr="00532134">
        <w:rPr>
          <w:rFonts w:ascii="MyriadPro-Regular" w:hAnsi="MyriadPro-Regular" w:cs="MyriadPro-Regular"/>
          <w:color w:val="414142"/>
          <w:sz w:val="20"/>
          <w:szCs w:val="20"/>
        </w:rPr>
        <w:t xml:space="preserve">Se convocó a la sociedad en su conjunto a trabajar para poner en marcha un “Nuevo Comienzo”, </w:t>
      </w:r>
      <w:r w:rsidRPr="00532134">
        <w:rPr>
          <w:rFonts w:ascii="MyriadPro-Regular" w:hAnsi="MyriadPro-Regular" w:cs="MyriadPro-Regular"/>
          <w:color w:val="414142"/>
          <w:sz w:val="20"/>
          <w:szCs w:val="20"/>
        </w:rPr>
        <w:lastRenderedPageBreak/>
        <w:t xml:space="preserve">siendo la consulta pública, que prevé la Ley de Planeación del Estado, un componente sustantivo en la elaboración del PLADIEM. </w:t>
      </w:r>
    </w:p>
    <w:p w14:paraId="669F6234" w14:textId="77777777" w:rsidR="00532134" w:rsidRPr="00532134" w:rsidRDefault="00532134" w:rsidP="00532134">
      <w:pPr>
        <w:autoSpaceDE w:val="0"/>
        <w:autoSpaceDN w:val="0"/>
        <w:adjustRightInd w:val="0"/>
        <w:spacing w:after="160" w:line="240" w:lineRule="auto"/>
        <w:jc w:val="both"/>
        <w:rPr>
          <w:rFonts w:ascii="MyriadPro-Regular" w:hAnsi="MyriadPro-Regular" w:cs="MyriadPro-Regular"/>
          <w:color w:val="414142"/>
          <w:sz w:val="20"/>
          <w:szCs w:val="20"/>
        </w:rPr>
      </w:pPr>
      <w:r w:rsidRPr="00532134">
        <w:rPr>
          <w:rFonts w:ascii="MyriadPro-Regular" w:hAnsi="MyriadPro-Regular" w:cs="MyriadPro-Regular"/>
          <w:color w:val="414142"/>
          <w:sz w:val="20"/>
          <w:szCs w:val="20"/>
        </w:rPr>
        <w:t xml:space="preserve">A través de la consulta pública el gobierno del Estado asumió el compromiso de propiciar las condiciones para que la sociedad decida democráticamente sobre las políticas y prioridades de la acción gubernamental. Se llevaron a cabo diez foros regionales, nueve talleres de planeación y dos foros en el extranjero (Los Ángeles y Chicago en Estados Unidos de América) con mecanismos interrelación gobierno-ciudadanía. Además se realizó una consulta en línea y se recibieron propuestas, proyectos y demás escritos vía directa o buzón, lo que permitió tener un constante diálogo social.         </w:t>
      </w:r>
    </w:p>
    <w:p w14:paraId="0B875284" w14:textId="77777777" w:rsidR="00532134" w:rsidRPr="00532134" w:rsidRDefault="00532134" w:rsidP="00532134">
      <w:pPr>
        <w:autoSpaceDE w:val="0"/>
        <w:autoSpaceDN w:val="0"/>
        <w:adjustRightInd w:val="0"/>
        <w:spacing w:after="160" w:line="240" w:lineRule="auto"/>
        <w:jc w:val="both"/>
        <w:rPr>
          <w:rFonts w:ascii="MyriadPro-Regular" w:hAnsi="MyriadPro-Regular" w:cs="MyriadPro-Regular"/>
          <w:color w:val="414142"/>
          <w:sz w:val="20"/>
          <w:szCs w:val="20"/>
        </w:rPr>
      </w:pPr>
      <w:r w:rsidRPr="00532134">
        <w:rPr>
          <w:rFonts w:ascii="MyriadPro-Regular" w:hAnsi="MyriadPro-Regular" w:cs="MyriadPro-Regular"/>
          <w:color w:val="414142"/>
          <w:sz w:val="20"/>
          <w:szCs w:val="20"/>
        </w:rPr>
        <w:t>En los diez foros regionales estuvieron representadas las diversas zonas socioeconómicas del Estado (Figura 3), lo que facilitó la participación de instancias y dependencias de gobierno del Estado, representantes del gobierno federal y las autoridades municipales de cada región. También participaron diversas instituciones de educación media superior y universidades, quienes facilitaron sus instalaciones para la realización de los foros.</w:t>
      </w:r>
    </w:p>
    <w:p w14:paraId="61753B76" w14:textId="77777777" w:rsidR="00532134" w:rsidRPr="00532134" w:rsidRDefault="00532134" w:rsidP="00532134">
      <w:pPr>
        <w:autoSpaceDE w:val="0"/>
        <w:autoSpaceDN w:val="0"/>
        <w:adjustRightInd w:val="0"/>
        <w:spacing w:after="160" w:line="240" w:lineRule="auto"/>
        <w:jc w:val="both"/>
        <w:rPr>
          <w:rFonts w:ascii="MyriadPro-Regular" w:hAnsi="MyriadPro-Regular" w:cs="MyriadPro-Regular"/>
          <w:color w:val="414142"/>
          <w:sz w:val="20"/>
          <w:szCs w:val="20"/>
        </w:rPr>
      </w:pPr>
      <w:r w:rsidRPr="00532134">
        <w:rPr>
          <w:rFonts w:ascii="MyriadPro-Regular" w:hAnsi="MyriadPro-Regular" w:cs="MyriadPro-Regular"/>
          <w:color w:val="414142"/>
          <w:sz w:val="20"/>
          <w:szCs w:val="20"/>
        </w:rPr>
        <w:t>Los foros regionales de consulta fueron espacios de convergencia y corresponsabilidad social en los que se fomentó el dialogo directo con la ciudadanía. En ellos se recopilaron propuestas, necesidades y opiniones para la promoción del desarrollo equilibrado e integral del Estado.</w:t>
      </w:r>
    </w:p>
    <w:p w14:paraId="06B9DBC9" w14:textId="77777777" w:rsidR="00532134" w:rsidRDefault="00532134" w:rsidP="00532134">
      <w:pPr>
        <w:autoSpaceDE w:val="0"/>
        <w:autoSpaceDN w:val="0"/>
        <w:adjustRightInd w:val="0"/>
        <w:spacing w:after="160" w:line="240" w:lineRule="auto"/>
        <w:jc w:val="both"/>
        <w:rPr>
          <w:rFonts w:ascii="MyriadPro-Regular" w:hAnsi="MyriadPro-Regular" w:cs="MyriadPro-Regular"/>
          <w:color w:val="414142"/>
          <w:sz w:val="20"/>
          <w:szCs w:val="20"/>
        </w:rPr>
      </w:pPr>
      <w:r w:rsidRPr="00532134">
        <w:rPr>
          <w:rFonts w:ascii="MyriadPro-Regular" w:hAnsi="MyriadPro-Regular" w:cs="MyriadPro-Regular"/>
          <w:color w:val="414142"/>
          <w:sz w:val="20"/>
          <w:szCs w:val="20"/>
        </w:rPr>
        <w:t>Por su parte, los foros realizados en los Estados Unidos de América, en las ciudades de mayor presencia de migrantes de nuestro Estado, tuvieron especial relevancia, ya que se estima que más de tres millones de michoacanos radican en ese país, principalmente en los estados de Illinois, California, Texas y Nevada. Esto significa casi la población total actual de la entidad.</w:t>
      </w:r>
    </w:p>
    <w:p w14:paraId="2D844B94" w14:textId="77777777" w:rsidR="007B4312" w:rsidRDefault="007B4312" w:rsidP="00532134">
      <w:pPr>
        <w:autoSpaceDE w:val="0"/>
        <w:autoSpaceDN w:val="0"/>
        <w:adjustRightInd w:val="0"/>
        <w:spacing w:after="160" w:line="240" w:lineRule="auto"/>
        <w:jc w:val="both"/>
        <w:rPr>
          <w:rFonts w:ascii="MyriadPro-Regular" w:hAnsi="MyriadPro-Regular" w:cs="MyriadPro-Regular"/>
          <w:color w:val="414142"/>
          <w:sz w:val="20"/>
          <w:szCs w:val="20"/>
        </w:rPr>
      </w:pPr>
    </w:p>
    <w:p w14:paraId="475447E1" w14:textId="77777777" w:rsidR="007B4312" w:rsidRDefault="007B4312" w:rsidP="00532134">
      <w:pPr>
        <w:autoSpaceDE w:val="0"/>
        <w:autoSpaceDN w:val="0"/>
        <w:adjustRightInd w:val="0"/>
        <w:spacing w:after="160" w:line="240" w:lineRule="auto"/>
        <w:jc w:val="both"/>
        <w:rPr>
          <w:rFonts w:ascii="MyriadPro-Regular" w:hAnsi="MyriadPro-Regular" w:cs="MyriadPro-Regular"/>
          <w:color w:val="414142"/>
          <w:sz w:val="20"/>
          <w:szCs w:val="20"/>
        </w:rPr>
      </w:pPr>
    </w:p>
    <w:p w14:paraId="075657C9" w14:textId="77777777" w:rsidR="007B4312" w:rsidRDefault="007B4312" w:rsidP="00532134">
      <w:pPr>
        <w:autoSpaceDE w:val="0"/>
        <w:autoSpaceDN w:val="0"/>
        <w:adjustRightInd w:val="0"/>
        <w:spacing w:after="160" w:line="240" w:lineRule="auto"/>
        <w:jc w:val="both"/>
        <w:rPr>
          <w:rFonts w:ascii="MyriadPro-Regular" w:hAnsi="MyriadPro-Regular" w:cs="MyriadPro-Regular"/>
          <w:color w:val="414142"/>
          <w:sz w:val="20"/>
          <w:szCs w:val="20"/>
        </w:rPr>
      </w:pPr>
    </w:p>
    <w:p w14:paraId="167273B8" w14:textId="77777777" w:rsidR="007B4312" w:rsidRDefault="007B4312" w:rsidP="00532134">
      <w:pPr>
        <w:autoSpaceDE w:val="0"/>
        <w:autoSpaceDN w:val="0"/>
        <w:adjustRightInd w:val="0"/>
        <w:spacing w:after="160" w:line="240" w:lineRule="auto"/>
        <w:jc w:val="both"/>
        <w:rPr>
          <w:rFonts w:ascii="MyriadPro-Regular" w:hAnsi="MyriadPro-Regular" w:cs="MyriadPro-Regular"/>
          <w:color w:val="414142"/>
          <w:sz w:val="20"/>
          <w:szCs w:val="20"/>
        </w:rPr>
      </w:pPr>
    </w:p>
    <w:p w14:paraId="3FCE0813" w14:textId="77777777" w:rsidR="007B4312" w:rsidRDefault="007B4312" w:rsidP="00532134">
      <w:pPr>
        <w:autoSpaceDE w:val="0"/>
        <w:autoSpaceDN w:val="0"/>
        <w:adjustRightInd w:val="0"/>
        <w:spacing w:after="160" w:line="240" w:lineRule="auto"/>
        <w:jc w:val="both"/>
        <w:rPr>
          <w:rFonts w:ascii="MyriadPro-Regular" w:hAnsi="MyriadPro-Regular" w:cs="MyriadPro-Regular"/>
          <w:color w:val="414142"/>
          <w:sz w:val="20"/>
          <w:szCs w:val="20"/>
        </w:rPr>
      </w:pPr>
    </w:p>
    <w:p w14:paraId="5E189D83" w14:textId="77777777" w:rsidR="007B4312" w:rsidRDefault="007B4312" w:rsidP="00532134">
      <w:pPr>
        <w:autoSpaceDE w:val="0"/>
        <w:autoSpaceDN w:val="0"/>
        <w:adjustRightInd w:val="0"/>
        <w:spacing w:after="160" w:line="240" w:lineRule="auto"/>
        <w:jc w:val="both"/>
        <w:rPr>
          <w:rFonts w:ascii="MyriadPro-Regular" w:hAnsi="MyriadPro-Regular" w:cs="MyriadPro-Regular"/>
          <w:color w:val="414142"/>
          <w:sz w:val="20"/>
          <w:szCs w:val="20"/>
        </w:rPr>
      </w:pPr>
    </w:p>
    <w:p w14:paraId="715F97E8" w14:textId="77777777" w:rsidR="007B4312" w:rsidRDefault="007B4312" w:rsidP="00532134">
      <w:pPr>
        <w:autoSpaceDE w:val="0"/>
        <w:autoSpaceDN w:val="0"/>
        <w:adjustRightInd w:val="0"/>
        <w:spacing w:after="160" w:line="240" w:lineRule="auto"/>
        <w:jc w:val="both"/>
        <w:rPr>
          <w:rFonts w:ascii="MyriadPro-Regular" w:hAnsi="MyriadPro-Regular" w:cs="MyriadPro-Regular"/>
          <w:color w:val="414142"/>
          <w:sz w:val="20"/>
          <w:szCs w:val="20"/>
        </w:rPr>
      </w:pPr>
    </w:p>
    <w:p w14:paraId="7B53A001" w14:textId="77777777" w:rsidR="007B4312" w:rsidRDefault="007B4312" w:rsidP="00532134">
      <w:pPr>
        <w:autoSpaceDE w:val="0"/>
        <w:autoSpaceDN w:val="0"/>
        <w:adjustRightInd w:val="0"/>
        <w:spacing w:after="160" w:line="240" w:lineRule="auto"/>
        <w:jc w:val="both"/>
        <w:rPr>
          <w:rFonts w:ascii="MyriadPro-Regular" w:hAnsi="MyriadPro-Regular" w:cs="MyriadPro-Regular"/>
          <w:color w:val="414142"/>
          <w:sz w:val="20"/>
          <w:szCs w:val="20"/>
        </w:rPr>
      </w:pPr>
    </w:p>
    <w:p w14:paraId="22A265B0" w14:textId="77777777" w:rsidR="007B5C11" w:rsidRPr="00933B38" w:rsidRDefault="007B5C11" w:rsidP="007B5C11">
      <w:pPr>
        <w:autoSpaceDE w:val="0"/>
        <w:autoSpaceDN w:val="0"/>
        <w:adjustRightInd w:val="0"/>
        <w:spacing w:after="0" w:line="180" w:lineRule="exact"/>
        <w:jc w:val="center"/>
        <w:rPr>
          <w:rFonts w:ascii="GalanoGrotesque-Bold" w:hAnsi="GalanoGrotesque-Bold" w:cs="GalanoGrotesque-Bold"/>
          <w:b/>
          <w:bCs/>
          <w:color w:val="414142"/>
          <w:sz w:val="16"/>
          <w:szCs w:val="14"/>
        </w:rPr>
      </w:pPr>
      <w:r w:rsidRPr="00933B38">
        <w:rPr>
          <w:rFonts w:ascii="GalanoGrotesque-Bold" w:hAnsi="GalanoGrotesque-Bold" w:cs="GalanoGrotesque-Bold"/>
          <w:b/>
          <w:bCs/>
          <w:color w:val="414142"/>
          <w:sz w:val="16"/>
          <w:szCs w:val="14"/>
        </w:rPr>
        <w:t>Figura 3</w:t>
      </w:r>
    </w:p>
    <w:p w14:paraId="4B23C7EF" w14:textId="77777777" w:rsidR="007B5C11" w:rsidRPr="00933B38" w:rsidRDefault="007B5C11" w:rsidP="007B5C11">
      <w:pPr>
        <w:autoSpaceDE w:val="0"/>
        <w:autoSpaceDN w:val="0"/>
        <w:adjustRightInd w:val="0"/>
        <w:spacing w:after="0" w:line="180" w:lineRule="exact"/>
        <w:jc w:val="center"/>
        <w:rPr>
          <w:rFonts w:ascii="GalanoGrotesque-Bold" w:hAnsi="GalanoGrotesque-Bold" w:cs="GalanoGrotesque-Bold"/>
          <w:b/>
          <w:bCs/>
          <w:color w:val="414142"/>
          <w:sz w:val="16"/>
          <w:szCs w:val="14"/>
        </w:rPr>
      </w:pPr>
      <w:r w:rsidRPr="00933B38">
        <w:rPr>
          <w:rFonts w:ascii="GalanoGrotesque-Bold" w:hAnsi="GalanoGrotesque-Bold" w:cs="GalanoGrotesque-Bold"/>
          <w:b/>
          <w:bCs/>
          <w:color w:val="414142"/>
          <w:sz w:val="16"/>
          <w:szCs w:val="14"/>
        </w:rPr>
        <w:t>Sedes de los foros regionales</w:t>
      </w:r>
    </w:p>
    <w:tbl>
      <w:tblPr>
        <w:tblStyle w:val="Tablaconcuadrcula"/>
        <w:tblW w:w="0" w:type="auto"/>
        <w:jc w:val="center"/>
        <w:tblLayout w:type="fixed"/>
        <w:tblLook w:val="04A0" w:firstRow="1" w:lastRow="0" w:firstColumn="1" w:lastColumn="0" w:noHBand="0" w:noVBand="1"/>
      </w:tblPr>
      <w:tblGrid>
        <w:gridCol w:w="1696"/>
        <w:gridCol w:w="1134"/>
        <w:gridCol w:w="1578"/>
      </w:tblGrid>
      <w:tr w:rsidR="007B5C11" w:rsidRPr="00ED6A02" w14:paraId="4655D994" w14:textId="77777777" w:rsidTr="007B5C11">
        <w:trPr>
          <w:trHeight w:val="60"/>
          <w:jc w:val="center"/>
        </w:trPr>
        <w:tc>
          <w:tcPr>
            <w:tcW w:w="1696" w:type="dxa"/>
            <w:shd w:val="clear" w:color="auto" w:fill="FFFFFF" w:themeFill="background1"/>
          </w:tcPr>
          <w:p w14:paraId="36BA021A" w14:textId="77777777" w:rsidR="007B5C11" w:rsidRPr="00ED6A02" w:rsidRDefault="007B5C11" w:rsidP="00293B5A">
            <w:pPr>
              <w:widowControl w:val="0"/>
              <w:autoSpaceDE w:val="0"/>
              <w:autoSpaceDN w:val="0"/>
              <w:adjustRightInd w:val="0"/>
              <w:contextualSpacing/>
              <w:jc w:val="center"/>
              <w:rPr>
                <w:rFonts w:ascii="Myriad Pro" w:hAnsi="Myriad Pro" w:cs="Arial"/>
                <w:b/>
                <w:sz w:val="14"/>
                <w:szCs w:val="14"/>
              </w:rPr>
            </w:pPr>
            <w:r w:rsidRPr="00ED6A02">
              <w:rPr>
                <w:rFonts w:ascii="Myriad Pro" w:hAnsi="Myriad Pro" w:cs="Arial"/>
                <w:b/>
                <w:sz w:val="14"/>
                <w:szCs w:val="14"/>
              </w:rPr>
              <w:t>Región</w:t>
            </w:r>
          </w:p>
        </w:tc>
        <w:tc>
          <w:tcPr>
            <w:tcW w:w="1134" w:type="dxa"/>
            <w:shd w:val="clear" w:color="auto" w:fill="FFFFFF" w:themeFill="background1"/>
          </w:tcPr>
          <w:p w14:paraId="18EF76F7" w14:textId="77777777" w:rsidR="007B5C11" w:rsidRPr="00ED6A02" w:rsidRDefault="007B5C11" w:rsidP="00293B5A">
            <w:pPr>
              <w:widowControl w:val="0"/>
              <w:autoSpaceDE w:val="0"/>
              <w:autoSpaceDN w:val="0"/>
              <w:adjustRightInd w:val="0"/>
              <w:contextualSpacing/>
              <w:jc w:val="center"/>
              <w:rPr>
                <w:rFonts w:ascii="Myriad Pro" w:hAnsi="Myriad Pro" w:cs="Arial"/>
                <w:b/>
                <w:sz w:val="14"/>
                <w:szCs w:val="14"/>
              </w:rPr>
            </w:pPr>
            <w:r w:rsidRPr="00ED6A02">
              <w:rPr>
                <w:rFonts w:ascii="Myriad Pro" w:hAnsi="Myriad Pro" w:cs="Arial"/>
                <w:b/>
                <w:sz w:val="14"/>
                <w:szCs w:val="14"/>
              </w:rPr>
              <w:t>Sede</w:t>
            </w:r>
          </w:p>
        </w:tc>
        <w:tc>
          <w:tcPr>
            <w:tcW w:w="1578" w:type="dxa"/>
            <w:shd w:val="clear" w:color="auto" w:fill="FFFFFF" w:themeFill="background1"/>
          </w:tcPr>
          <w:p w14:paraId="35B39B34" w14:textId="77777777" w:rsidR="007B5C11" w:rsidRPr="00ED6A02" w:rsidRDefault="007B5C11" w:rsidP="00293B5A">
            <w:pPr>
              <w:widowControl w:val="0"/>
              <w:autoSpaceDE w:val="0"/>
              <w:autoSpaceDN w:val="0"/>
              <w:adjustRightInd w:val="0"/>
              <w:contextualSpacing/>
              <w:jc w:val="center"/>
              <w:rPr>
                <w:rFonts w:ascii="Myriad Pro" w:hAnsi="Myriad Pro" w:cs="Arial"/>
                <w:b/>
                <w:sz w:val="14"/>
                <w:szCs w:val="14"/>
              </w:rPr>
            </w:pPr>
            <w:r w:rsidRPr="00ED6A02">
              <w:rPr>
                <w:rFonts w:ascii="Myriad Pro" w:hAnsi="Myriad Pro" w:cs="Arial"/>
                <w:b/>
                <w:sz w:val="14"/>
                <w:szCs w:val="14"/>
              </w:rPr>
              <w:t>Fecha</w:t>
            </w:r>
          </w:p>
        </w:tc>
      </w:tr>
      <w:tr w:rsidR="007B5C11" w:rsidRPr="00ED6A02" w14:paraId="752AEB95" w14:textId="77777777" w:rsidTr="007B5C11">
        <w:trPr>
          <w:trHeight w:val="60"/>
          <w:jc w:val="center"/>
        </w:trPr>
        <w:tc>
          <w:tcPr>
            <w:tcW w:w="1696" w:type="dxa"/>
          </w:tcPr>
          <w:p w14:paraId="6688EBBD"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VIII Tierra Caliente</w:t>
            </w:r>
            <w:r w:rsidRPr="00ED6A02">
              <w:rPr>
                <w:rFonts w:ascii="Myriad Pro" w:hAnsi="Myriad Pro" w:cs="Calibri"/>
                <w:sz w:val="12"/>
                <w:szCs w:val="14"/>
              </w:rPr>
              <w:t> </w:t>
            </w:r>
          </w:p>
        </w:tc>
        <w:tc>
          <w:tcPr>
            <w:tcW w:w="1134" w:type="dxa"/>
          </w:tcPr>
          <w:p w14:paraId="2DC89DDC"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proofErr w:type="spellStart"/>
            <w:r w:rsidRPr="00ED6A02">
              <w:rPr>
                <w:rFonts w:ascii="Myriad Pro" w:hAnsi="Myriad Pro" w:cs="Arial"/>
                <w:sz w:val="12"/>
                <w:szCs w:val="14"/>
              </w:rPr>
              <w:t>Huetamo</w:t>
            </w:r>
            <w:proofErr w:type="spellEnd"/>
            <w:r w:rsidRPr="00ED6A02">
              <w:rPr>
                <w:rFonts w:ascii="Myriad Pro" w:hAnsi="Myriad Pro" w:cs="Calibri"/>
                <w:sz w:val="12"/>
                <w:szCs w:val="14"/>
              </w:rPr>
              <w:t> </w:t>
            </w:r>
          </w:p>
        </w:tc>
        <w:tc>
          <w:tcPr>
            <w:tcW w:w="1578" w:type="dxa"/>
          </w:tcPr>
          <w:p w14:paraId="045CBF7E"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24 de noviembre</w:t>
            </w:r>
            <w:r w:rsidRPr="00ED6A02">
              <w:rPr>
                <w:rFonts w:ascii="Myriad Pro" w:hAnsi="Myriad Pro" w:cs="Calibri"/>
                <w:sz w:val="12"/>
                <w:szCs w:val="14"/>
              </w:rPr>
              <w:t> </w:t>
            </w:r>
            <w:r w:rsidRPr="00ED6A02">
              <w:rPr>
                <w:rFonts w:ascii="Myriad Pro" w:hAnsi="Myriad Pro" w:cs="Arial"/>
                <w:sz w:val="12"/>
                <w:szCs w:val="14"/>
              </w:rPr>
              <w:t>de 2015</w:t>
            </w:r>
          </w:p>
        </w:tc>
      </w:tr>
      <w:tr w:rsidR="007B5C11" w:rsidRPr="00ED6A02" w14:paraId="4862F77A" w14:textId="77777777" w:rsidTr="00293B5A">
        <w:trPr>
          <w:trHeight w:val="124"/>
          <w:jc w:val="center"/>
        </w:trPr>
        <w:tc>
          <w:tcPr>
            <w:tcW w:w="1696" w:type="dxa"/>
          </w:tcPr>
          <w:p w14:paraId="0A9CB6C8"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X Infiernillo</w:t>
            </w:r>
            <w:r w:rsidRPr="00ED6A02">
              <w:rPr>
                <w:rFonts w:ascii="Myriad Pro" w:hAnsi="Myriad Pro" w:cs="Calibri"/>
                <w:sz w:val="12"/>
                <w:szCs w:val="14"/>
              </w:rPr>
              <w:t> </w:t>
            </w:r>
          </w:p>
        </w:tc>
        <w:tc>
          <w:tcPr>
            <w:tcW w:w="1134" w:type="dxa"/>
          </w:tcPr>
          <w:p w14:paraId="391CCFAD"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 xml:space="preserve">La </w:t>
            </w:r>
            <w:proofErr w:type="spellStart"/>
            <w:r w:rsidRPr="00ED6A02">
              <w:rPr>
                <w:rFonts w:ascii="Myriad Pro" w:hAnsi="Myriad Pro" w:cs="Arial"/>
                <w:sz w:val="12"/>
                <w:szCs w:val="14"/>
              </w:rPr>
              <w:t>Huacana</w:t>
            </w:r>
            <w:proofErr w:type="spellEnd"/>
            <w:r w:rsidRPr="00ED6A02">
              <w:rPr>
                <w:rFonts w:ascii="Myriad Pro" w:hAnsi="Myriad Pro" w:cs="Calibri"/>
                <w:sz w:val="12"/>
                <w:szCs w:val="14"/>
              </w:rPr>
              <w:t> </w:t>
            </w:r>
          </w:p>
        </w:tc>
        <w:tc>
          <w:tcPr>
            <w:tcW w:w="1578" w:type="dxa"/>
          </w:tcPr>
          <w:p w14:paraId="21580275"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27 de noviembre de 2015</w:t>
            </w:r>
          </w:p>
        </w:tc>
      </w:tr>
      <w:tr w:rsidR="007B5C11" w:rsidRPr="00ED6A02" w14:paraId="5387F0FF" w14:textId="77777777" w:rsidTr="007B5C11">
        <w:trPr>
          <w:trHeight w:val="166"/>
          <w:jc w:val="center"/>
        </w:trPr>
        <w:tc>
          <w:tcPr>
            <w:tcW w:w="1696" w:type="dxa"/>
          </w:tcPr>
          <w:p w14:paraId="17BCED46"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II Bajío</w:t>
            </w:r>
            <w:r w:rsidRPr="00ED6A02">
              <w:rPr>
                <w:rFonts w:ascii="Myriad Pro" w:hAnsi="Myriad Pro" w:cs="Calibri"/>
                <w:sz w:val="12"/>
                <w:szCs w:val="14"/>
              </w:rPr>
              <w:t> </w:t>
            </w:r>
          </w:p>
        </w:tc>
        <w:tc>
          <w:tcPr>
            <w:tcW w:w="1134" w:type="dxa"/>
          </w:tcPr>
          <w:p w14:paraId="45E743C3"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La Piedad</w:t>
            </w:r>
          </w:p>
        </w:tc>
        <w:tc>
          <w:tcPr>
            <w:tcW w:w="1578" w:type="dxa"/>
          </w:tcPr>
          <w:p w14:paraId="541F658F"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1 de</w:t>
            </w:r>
            <w:r w:rsidRPr="00ED6A02">
              <w:rPr>
                <w:rFonts w:ascii="Myriad Pro" w:hAnsi="Myriad Pro" w:cs="Calibri"/>
                <w:sz w:val="12"/>
                <w:szCs w:val="14"/>
              </w:rPr>
              <w:t> </w:t>
            </w:r>
            <w:r w:rsidRPr="00ED6A02">
              <w:rPr>
                <w:rFonts w:ascii="Myriad Pro" w:hAnsi="Myriad Pro" w:cs="Arial"/>
                <w:sz w:val="12"/>
                <w:szCs w:val="14"/>
              </w:rPr>
              <w:t xml:space="preserve"> diciembre de 2015</w:t>
            </w:r>
          </w:p>
        </w:tc>
      </w:tr>
      <w:tr w:rsidR="007B5C11" w:rsidRPr="00ED6A02" w14:paraId="4458333D" w14:textId="77777777" w:rsidTr="00293B5A">
        <w:trPr>
          <w:trHeight w:val="186"/>
          <w:jc w:val="center"/>
        </w:trPr>
        <w:tc>
          <w:tcPr>
            <w:tcW w:w="1696" w:type="dxa"/>
          </w:tcPr>
          <w:p w14:paraId="21353C82"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VII Pátzcuaro-</w:t>
            </w:r>
            <w:proofErr w:type="spellStart"/>
            <w:r w:rsidRPr="00ED6A02">
              <w:rPr>
                <w:rFonts w:ascii="Myriad Pro" w:hAnsi="Myriad Pro" w:cs="Arial"/>
                <w:sz w:val="12"/>
                <w:szCs w:val="14"/>
              </w:rPr>
              <w:t>Zirahuén</w:t>
            </w:r>
            <w:proofErr w:type="spellEnd"/>
          </w:p>
        </w:tc>
        <w:tc>
          <w:tcPr>
            <w:tcW w:w="1134" w:type="dxa"/>
          </w:tcPr>
          <w:p w14:paraId="125F00D9"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Pátzcuaro</w:t>
            </w:r>
            <w:r w:rsidRPr="00ED6A02">
              <w:rPr>
                <w:rFonts w:ascii="Myriad Pro" w:hAnsi="Myriad Pro" w:cs="Calibri"/>
                <w:sz w:val="12"/>
                <w:szCs w:val="14"/>
              </w:rPr>
              <w:t> </w:t>
            </w:r>
          </w:p>
        </w:tc>
        <w:tc>
          <w:tcPr>
            <w:tcW w:w="1578" w:type="dxa"/>
          </w:tcPr>
          <w:p w14:paraId="61B05275"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4 de diciembre</w:t>
            </w:r>
            <w:r w:rsidRPr="00ED6A02">
              <w:rPr>
                <w:rFonts w:ascii="Myriad Pro" w:hAnsi="Myriad Pro" w:cs="Calibri"/>
                <w:sz w:val="12"/>
                <w:szCs w:val="14"/>
              </w:rPr>
              <w:t> </w:t>
            </w:r>
            <w:r w:rsidRPr="00ED6A02">
              <w:rPr>
                <w:rFonts w:ascii="Myriad Pro" w:hAnsi="Myriad Pro" w:cs="Arial"/>
                <w:sz w:val="12"/>
                <w:szCs w:val="14"/>
              </w:rPr>
              <w:t>de 2015</w:t>
            </w:r>
          </w:p>
        </w:tc>
      </w:tr>
      <w:tr w:rsidR="007B5C11" w:rsidRPr="00ED6A02" w14:paraId="3EF5507D" w14:textId="77777777" w:rsidTr="00293B5A">
        <w:trPr>
          <w:trHeight w:val="131"/>
          <w:jc w:val="center"/>
        </w:trPr>
        <w:tc>
          <w:tcPr>
            <w:tcW w:w="1696" w:type="dxa"/>
          </w:tcPr>
          <w:p w14:paraId="06B271BF"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V Tepalcatepec</w:t>
            </w:r>
            <w:r w:rsidRPr="00ED6A02">
              <w:rPr>
                <w:rFonts w:ascii="Myriad Pro" w:hAnsi="Myriad Pro" w:cs="Calibri"/>
                <w:sz w:val="12"/>
                <w:szCs w:val="14"/>
              </w:rPr>
              <w:t> </w:t>
            </w:r>
          </w:p>
        </w:tc>
        <w:tc>
          <w:tcPr>
            <w:tcW w:w="1134" w:type="dxa"/>
          </w:tcPr>
          <w:p w14:paraId="06C263EA"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Apatzingán</w:t>
            </w:r>
          </w:p>
        </w:tc>
        <w:tc>
          <w:tcPr>
            <w:tcW w:w="1578" w:type="dxa"/>
          </w:tcPr>
          <w:p w14:paraId="6A7FABF9"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8 de diciembre</w:t>
            </w:r>
            <w:r w:rsidRPr="00ED6A02">
              <w:rPr>
                <w:rFonts w:ascii="Myriad Pro" w:hAnsi="Myriad Pro" w:cs="Calibri"/>
                <w:sz w:val="12"/>
                <w:szCs w:val="14"/>
              </w:rPr>
              <w:t> </w:t>
            </w:r>
            <w:r w:rsidRPr="00ED6A02">
              <w:rPr>
                <w:rFonts w:ascii="Myriad Pro" w:hAnsi="Myriad Pro" w:cs="Arial"/>
                <w:sz w:val="12"/>
                <w:szCs w:val="14"/>
              </w:rPr>
              <w:t>de 2015</w:t>
            </w:r>
          </w:p>
        </w:tc>
      </w:tr>
      <w:tr w:rsidR="007B5C11" w:rsidRPr="00ED6A02" w14:paraId="22E37D2C" w14:textId="77777777" w:rsidTr="00293B5A">
        <w:trPr>
          <w:trHeight w:val="120"/>
          <w:jc w:val="center"/>
        </w:trPr>
        <w:tc>
          <w:tcPr>
            <w:tcW w:w="1696" w:type="dxa"/>
          </w:tcPr>
          <w:p w14:paraId="641DADDD"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VI Purépecha</w:t>
            </w:r>
          </w:p>
        </w:tc>
        <w:tc>
          <w:tcPr>
            <w:tcW w:w="1134" w:type="dxa"/>
          </w:tcPr>
          <w:p w14:paraId="61A3EB0C"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 xml:space="preserve">Uruapan </w:t>
            </w:r>
          </w:p>
        </w:tc>
        <w:tc>
          <w:tcPr>
            <w:tcW w:w="1578" w:type="dxa"/>
          </w:tcPr>
          <w:p w14:paraId="687D1D8C"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11 de diciembre de 2015</w:t>
            </w:r>
          </w:p>
        </w:tc>
      </w:tr>
      <w:tr w:rsidR="007B5C11" w:rsidRPr="00ED6A02" w14:paraId="4E6829D0" w14:textId="77777777" w:rsidTr="00293B5A">
        <w:trPr>
          <w:trHeight w:val="250"/>
          <w:jc w:val="center"/>
        </w:trPr>
        <w:tc>
          <w:tcPr>
            <w:tcW w:w="1696" w:type="dxa"/>
          </w:tcPr>
          <w:p w14:paraId="0C45B763"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IV Oriente</w:t>
            </w:r>
          </w:p>
        </w:tc>
        <w:tc>
          <w:tcPr>
            <w:tcW w:w="1134" w:type="dxa"/>
          </w:tcPr>
          <w:p w14:paraId="6998FF7E"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Zitácuaro</w:t>
            </w:r>
          </w:p>
        </w:tc>
        <w:tc>
          <w:tcPr>
            <w:tcW w:w="1578" w:type="dxa"/>
          </w:tcPr>
          <w:p w14:paraId="2D8E7D42"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15 de diciembre de 2015</w:t>
            </w:r>
          </w:p>
        </w:tc>
      </w:tr>
      <w:tr w:rsidR="007B5C11" w:rsidRPr="00ED6A02" w14:paraId="6EBBBD16" w14:textId="77777777" w:rsidTr="00293B5A">
        <w:trPr>
          <w:trHeight w:val="231"/>
          <w:jc w:val="center"/>
        </w:trPr>
        <w:tc>
          <w:tcPr>
            <w:tcW w:w="1696" w:type="dxa"/>
          </w:tcPr>
          <w:p w14:paraId="0D18EC6E"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I Lerma- Chapala</w:t>
            </w:r>
          </w:p>
        </w:tc>
        <w:tc>
          <w:tcPr>
            <w:tcW w:w="1134" w:type="dxa"/>
          </w:tcPr>
          <w:p w14:paraId="1032DF9A"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Zamora</w:t>
            </w:r>
          </w:p>
        </w:tc>
        <w:tc>
          <w:tcPr>
            <w:tcW w:w="1578" w:type="dxa"/>
          </w:tcPr>
          <w:p w14:paraId="0AB8CDCC"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12 de enero de 2016</w:t>
            </w:r>
            <w:r w:rsidRPr="00ED6A02">
              <w:rPr>
                <w:rFonts w:ascii="Myriad Pro" w:hAnsi="Myriad Pro" w:cs="Calibri"/>
                <w:sz w:val="12"/>
                <w:szCs w:val="14"/>
              </w:rPr>
              <w:t> </w:t>
            </w:r>
          </w:p>
        </w:tc>
      </w:tr>
      <w:tr w:rsidR="007B5C11" w:rsidRPr="00ED6A02" w14:paraId="17054190" w14:textId="77777777" w:rsidTr="00293B5A">
        <w:trPr>
          <w:trHeight w:val="264"/>
          <w:jc w:val="center"/>
        </w:trPr>
        <w:tc>
          <w:tcPr>
            <w:tcW w:w="1696" w:type="dxa"/>
          </w:tcPr>
          <w:p w14:paraId="3351D4C0"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IX Sierra-Costa</w:t>
            </w:r>
          </w:p>
        </w:tc>
        <w:tc>
          <w:tcPr>
            <w:tcW w:w="1134" w:type="dxa"/>
          </w:tcPr>
          <w:p w14:paraId="655BA8FB"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Lázaro Cárdenas</w:t>
            </w:r>
          </w:p>
        </w:tc>
        <w:tc>
          <w:tcPr>
            <w:tcW w:w="1578" w:type="dxa"/>
          </w:tcPr>
          <w:p w14:paraId="086EA038"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15 de enero de 2016</w:t>
            </w:r>
          </w:p>
        </w:tc>
      </w:tr>
      <w:tr w:rsidR="007B5C11" w:rsidRPr="00ED6A02" w14:paraId="75F9BD1D" w14:textId="77777777" w:rsidTr="00293B5A">
        <w:trPr>
          <w:trHeight w:val="126"/>
          <w:jc w:val="center"/>
        </w:trPr>
        <w:tc>
          <w:tcPr>
            <w:tcW w:w="1696" w:type="dxa"/>
          </w:tcPr>
          <w:p w14:paraId="3FB0F426"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 xml:space="preserve">III </w:t>
            </w:r>
            <w:proofErr w:type="spellStart"/>
            <w:r w:rsidRPr="00ED6A02">
              <w:rPr>
                <w:rFonts w:ascii="Myriad Pro" w:hAnsi="Myriad Pro" w:cs="Arial"/>
                <w:sz w:val="12"/>
                <w:szCs w:val="14"/>
              </w:rPr>
              <w:t>Cuitzeo</w:t>
            </w:r>
            <w:proofErr w:type="spellEnd"/>
          </w:p>
        </w:tc>
        <w:tc>
          <w:tcPr>
            <w:tcW w:w="1134" w:type="dxa"/>
          </w:tcPr>
          <w:p w14:paraId="0293308C"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Morelia</w:t>
            </w:r>
          </w:p>
        </w:tc>
        <w:tc>
          <w:tcPr>
            <w:tcW w:w="1578" w:type="dxa"/>
          </w:tcPr>
          <w:p w14:paraId="63BA1D0F"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22 de enero de 2016</w:t>
            </w:r>
          </w:p>
        </w:tc>
      </w:tr>
      <w:tr w:rsidR="007B5C11" w:rsidRPr="00ED6A02" w14:paraId="6765595A" w14:textId="77777777" w:rsidTr="00293B5A">
        <w:trPr>
          <w:trHeight w:val="158"/>
          <w:jc w:val="center"/>
        </w:trPr>
        <w:tc>
          <w:tcPr>
            <w:tcW w:w="1696" w:type="dxa"/>
          </w:tcPr>
          <w:p w14:paraId="08D8EB43"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Estados Unidos de América</w:t>
            </w:r>
          </w:p>
        </w:tc>
        <w:tc>
          <w:tcPr>
            <w:tcW w:w="1134" w:type="dxa"/>
          </w:tcPr>
          <w:p w14:paraId="04C62835"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Chicago</w:t>
            </w:r>
          </w:p>
        </w:tc>
        <w:tc>
          <w:tcPr>
            <w:tcW w:w="1578" w:type="dxa"/>
          </w:tcPr>
          <w:p w14:paraId="41013BF1"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27 de febrero de 2016</w:t>
            </w:r>
          </w:p>
        </w:tc>
      </w:tr>
      <w:tr w:rsidR="007B5C11" w:rsidRPr="00ED6A02" w14:paraId="337CC022" w14:textId="77777777" w:rsidTr="00293B5A">
        <w:trPr>
          <w:trHeight w:val="190"/>
          <w:jc w:val="center"/>
        </w:trPr>
        <w:tc>
          <w:tcPr>
            <w:tcW w:w="1696" w:type="dxa"/>
          </w:tcPr>
          <w:p w14:paraId="3621B281"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Estados Unidos de América</w:t>
            </w:r>
          </w:p>
        </w:tc>
        <w:tc>
          <w:tcPr>
            <w:tcW w:w="1134" w:type="dxa"/>
          </w:tcPr>
          <w:p w14:paraId="45C9CC6A"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Los Ángeles</w:t>
            </w:r>
          </w:p>
        </w:tc>
        <w:tc>
          <w:tcPr>
            <w:tcW w:w="1578" w:type="dxa"/>
          </w:tcPr>
          <w:p w14:paraId="69B3D845" w14:textId="77777777" w:rsidR="007B5C11" w:rsidRPr="00ED6A02" w:rsidRDefault="007B5C11" w:rsidP="007B5C11">
            <w:pPr>
              <w:widowControl w:val="0"/>
              <w:autoSpaceDE w:val="0"/>
              <w:autoSpaceDN w:val="0"/>
              <w:adjustRightInd w:val="0"/>
              <w:spacing w:after="40"/>
              <w:rPr>
                <w:rFonts w:ascii="Myriad Pro" w:hAnsi="Myriad Pro" w:cs="Arial"/>
                <w:sz w:val="12"/>
                <w:szCs w:val="14"/>
              </w:rPr>
            </w:pPr>
            <w:r w:rsidRPr="00ED6A02">
              <w:rPr>
                <w:rFonts w:ascii="Myriad Pro" w:hAnsi="Myriad Pro" w:cs="Arial"/>
                <w:sz w:val="12"/>
                <w:szCs w:val="14"/>
              </w:rPr>
              <w:t>28 de febrero de 2016</w:t>
            </w:r>
            <w:r w:rsidRPr="00ED6A02">
              <w:rPr>
                <w:rFonts w:ascii="Myriad Pro" w:hAnsi="Myriad Pro" w:cs="Calibri"/>
                <w:sz w:val="12"/>
                <w:szCs w:val="14"/>
              </w:rPr>
              <w:t> </w:t>
            </w:r>
          </w:p>
        </w:tc>
      </w:tr>
    </w:tbl>
    <w:p w14:paraId="53E3B5DC" w14:textId="77777777" w:rsidR="007B5C11" w:rsidRDefault="007B5C11" w:rsidP="007B5C11">
      <w:pPr>
        <w:spacing w:after="0" w:line="140" w:lineRule="exact"/>
        <w:jc w:val="both"/>
        <w:rPr>
          <w:rFonts w:ascii="GalanoGrotesque-Regular" w:hAnsi="GalanoGrotesque-Regular" w:cs="Arial"/>
          <w:sz w:val="14"/>
          <w:szCs w:val="20"/>
        </w:rPr>
      </w:pPr>
    </w:p>
    <w:p w14:paraId="61C4AD22" w14:textId="77777777" w:rsidR="007B5C11" w:rsidRPr="00ED6A02" w:rsidRDefault="007B5C11" w:rsidP="007B5C11">
      <w:pPr>
        <w:spacing w:after="0" w:line="180" w:lineRule="exact"/>
        <w:jc w:val="both"/>
        <w:rPr>
          <w:rFonts w:ascii="GalanoGrotesque-Regular" w:hAnsi="GalanoGrotesque-Regular" w:cs="Arial"/>
          <w:sz w:val="14"/>
          <w:szCs w:val="20"/>
        </w:rPr>
      </w:pPr>
      <w:r w:rsidRPr="00ED6A02">
        <w:rPr>
          <w:rFonts w:ascii="GalanoGrotesque-Regular" w:hAnsi="GalanoGrotesque-Regular" w:cs="Arial"/>
          <w:sz w:val="14"/>
          <w:szCs w:val="20"/>
        </w:rPr>
        <w:t>Fuente: Elaboración propia, Coordinación General de Gabinete y Planeación del Gobierno de Michoacán.</w:t>
      </w:r>
    </w:p>
    <w:p w14:paraId="1E7B4394" w14:textId="77777777" w:rsidR="007B5C11" w:rsidRDefault="007B5C11" w:rsidP="00532134">
      <w:pPr>
        <w:autoSpaceDE w:val="0"/>
        <w:autoSpaceDN w:val="0"/>
        <w:adjustRightInd w:val="0"/>
        <w:spacing w:after="160" w:line="240" w:lineRule="auto"/>
        <w:jc w:val="both"/>
        <w:rPr>
          <w:rFonts w:ascii="MyriadPro-Regular" w:hAnsi="MyriadPro-Regular" w:cs="MyriadPro-Regular"/>
          <w:color w:val="414142"/>
          <w:sz w:val="20"/>
          <w:szCs w:val="20"/>
        </w:rPr>
      </w:pPr>
    </w:p>
    <w:p w14:paraId="48A5E466" w14:textId="41F33642" w:rsidR="007B5C11" w:rsidRPr="007B5C11" w:rsidRDefault="007B5C11" w:rsidP="00532134">
      <w:pPr>
        <w:autoSpaceDE w:val="0"/>
        <w:autoSpaceDN w:val="0"/>
        <w:adjustRightInd w:val="0"/>
        <w:spacing w:after="160" w:line="240" w:lineRule="auto"/>
        <w:jc w:val="both"/>
        <w:rPr>
          <w:rFonts w:ascii="MyriadPro-Regular" w:hAnsi="MyriadPro-Regular" w:cs="MyriadPro-Regular"/>
          <w:b/>
          <w:color w:val="414142"/>
          <w:szCs w:val="20"/>
        </w:rPr>
      </w:pPr>
      <w:r w:rsidRPr="007B5C11">
        <w:rPr>
          <w:rFonts w:ascii="MyriadPro-Regular" w:hAnsi="MyriadPro-Regular" w:cs="MyriadPro-Regular"/>
          <w:b/>
          <w:color w:val="414142"/>
          <w:szCs w:val="20"/>
        </w:rPr>
        <w:t>Proceso de Consulta y Participación Ciudadana</w:t>
      </w:r>
    </w:p>
    <w:p w14:paraId="7B85E90E" w14:textId="23315B6E" w:rsidR="00E46DD9" w:rsidRPr="00A00313" w:rsidRDefault="00E46DD9" w:rsidP="00532134">
      <w:pPr>
        <w:autoSpaceDE w:val="0"/>
        <w:autoSpaceDN w:val="0"/>
        <w:adjustRightInd w:val="0"/>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El proceso inició a través de diversas vertientes de participación, con el propósito de obtener insumos que permitan conocer las inquietudes y prioridades demandadas por la ciudadanía. Entre los mecanismos de participación que se habilitaron, se encuentran los siguientes:</w:t>
      </w:r>
    </w:p>
    <w:p w14:paraId="5B4AC09C" w14:textId="77777777" w:rsidR="00E46DD9" w:rsidRPr="007B5C11" w:rsidRDefault="00E46DD9" w:rsidP="00640E1D">
      <w:pPr>
        <w:pStyle w:val="Prrafodelista"/>
        <w:numPr>
          <w:ilvl w:val="0"/>
          <w:numId w:val="30"/>
        </w:numPr>
        <w:autoSpaceDE w:val="0"/>
        <w:autoSpaceDN w:val="0"/>
        <w:adjustRightInd w:val="0"/>
        <w:spacing w:after="160"/>
        <w:ind w:left="284" w:hanging="284"/>
        <w:contextualSpacing w:val="0"/>
        <w:jc w:val="both"/>
        <w:rPr>
          <w:rFonts w:ascii="MyriadPro-Regular" w:hAnsi="MyriadPro-Regular" w:cs="MyriadPro-Regular"/>
          <w:color w:val="414142"/>
          <w:sz w:val="20"/>
          <w:szCs w:val="20"/>
        </w:rPr>
      </w:pPr>
      <w:r w:rsidRPr="007B5C11">
        <w:rPr>
          <w:rFonts w:ascii="MyriadPro-Regular" w:hAnsi="MyriadPro-Regular" w:cs="MyriadPro-Regular"/>
          <w:color w:val="414142"/>
          <w:sz w:val="20"/>
          <w:szCs w:val="20"/>
        </w:rPr>
        <w:t>Se activó un portal de internet (</w:t>
      </w:r>
      <w:r w:rsidR="00600BE3" w:rsidRPr="007B5C11">
        <w:rPr>
          <w:rFonts w:ascii="MyriadPro-Regular" w:hAnsi="MyriadPro-Regular" w:cs="MyriadPro-Regular"/>
          <w:color w:val="414142"/>
          <w:sz w:val="20"/>
          <w:szCs w:val="20"/>
        </w:rPr>
        <w:t>www.foros. michoacan.gob.mx</w:t>
      </w:r>
      <w:r w:rsidRPr="007B5C11">
        <w:rPr>
          <w:rFonts w:ascii="MyriadPro-Regular" w:hAnsi="MyriadPro-Regular" w:cs="MyriadPro-Regular"/>
          <w:color w:val="414142"/>
          <w:sz w:val="20"/>
          <w:szCs w:val="20"/>
        </w:rPr>
        <w:t>) para recibir aportaciones ciudadanas y difundir el proceso de cada uno de los foros. Al concluir cada foro el portal aportó información estadística y sustantiva en relación a las propuestas y los resultados de sus trabajos, esto mediante relatorías por cada una de las mesas establecidas para cada prioridad transversal.</w:t>
      </w:r>
    </w:p>
    <w:p w14:paraId="5DCC0AB2" w14:textId="77777777" w:rsidR="00E46DD9" w:rsidRPr="007B5C11" w:rsidRDefault="00E46DD9" w:rsidP="00640E1D">
      <w:pPr>
        <w:pStyle w:val="Prrafodelista"/>
        <w:numPr>
          <w:ilvl w:val="0"/>
          <w:numId w:val="30"/>
        </w:numPr>
        <w:autoSpaceDE w:val="0"/>
        <w:autoSpaceDN w:val="0"/>
        <w:adjustRightInd w:val="0"/>
        <w:spacing w:after="160"/>
        <w:ind w:left="284" w:hanging="284"/>
        <w:contextualSpacing w:val="0"/>
        <w:jc w:val="both"/>
        <w:rPr>
          <w:rFonts w:ascii="MyriadPro-Regular" w:hAnsi="MyriadPro-Regular" w:cs="MyriadPro-Regular"/>
          <w:color w:val="414142"/>
          <w:sz w:val="20"/>
          <w:szCs w:val="20"/>
        </w:rPr>
      </w:pPr>
      <w:r w:rsidRPr="007B5C11">
        <w:rPr>
          <w:rFonts w:ascii="MyriadPro-Regular" w:hAnsi="MyriadPro-Regular" w:cs="MyriadPro-Regular"/>
          <w:color w:val="414142"/>
          <w:sz w:val="20"/>
          <w:szCs w:val="20"/>
        </w:rPr>
        <w:t>Se instalaron buzones en los municipios para que la sociedad</w:t>
      </w:r>
      <w:r w:rsidRPr="007B5C11">
        <w:rPr>
          <w:rFonts w:ascii="GalanoGrotesque-Medium" w:hAnsi="GalanoGrotesque-Medium" w:cs="Arial"/>
        </w:rPr>
        <w:t xml:space="preserve"> </w:t>
      </w:r>
      <w:r w:rsidRPr="007B5C11">
        <w:rPr>
          <w:rFonts w:ascii="MyriadPro-Regular" w:hAnsi="MyriadPro-Regular" w:cs="MyriadPro-Regular"/>
          <w:color w:val="414142"/>
          <w:sz w:val="20"/>
          <w:szCs w:val="20"/>
        </w:rPr>
        <w:t>participara a través de encuestas escritas.</w:t>
      </w:r>
    </w:p>
    <w:p w14:paraId="77C32953" w14:textId="77777777" w:rsidR="00E46DD9" w:rsidRPr="007B5C11" w:rsidRDefault="00E46DD9" w:rsidP="00640E1D">
      <w:pPr>
        <w:pStyle w:val="Prrafodelista"/>
        <w:numPr>
          <w:ilvl w:val="0"/>
          <w:numId w:val="30"/>
        </w:numPr>
        <w:autoSpaceDE w:val="0"/>
        <w:autoSpaceDN w:val="0"/>
        <w:adjustRightInd w:val="0"/>
        <w:spacing w:after="160"/>
        <w:ind w:left="284" w:hanging="284"/>
        <w:contextualSpacing w:val="0"/>
        <w:jc w:val="both"/>
        <w:rPr>
          <w:rFonts w:ascii="MyriadPro-Regular" w:hAnsi="MyriadPro-Regular" w:cs="MyriadPro-Regular"/>
          <w:color w:val="414142"/>
          <w:sz w:val="20"/>
          <w:szCs w:val="20"/>
        </w:rPr>
      </w:pPr>
      <w:r w:rsidRPr="007B5C11">
        <w:rPr>
          <w:rFonts w:ascii="MyriadPro-Regular" w:hAnsi="MyriadPro-Regular" w:cs="MyriadPro-Regular"/>
          <w:color w:val="414142"/>
          <w:sz w:val="20"/>
          <w:szCs w:val="20"/>
        </w:rPr>
        <w:t>Se establecieron conversaciones con líderes de opinión que conocen la situación actual de la entidad e identificaron la problemática y fortalezas del sector en el que se desempeñan, como parte de la sociedad organizada a la cual representan. Se destacan entre ellos mujeres y hombres empresarios, activistas sociales, académicos, represen</w:t>
      </w:r>
      <w:r w:rsidR="00600BE3" w:rsidRPr="007B5C11">
        <w:rPr>
          <w:rFonts w:ascii="MyriadPro-Regular" w:hAnsi="MyriadPro-Regular" w:cs="MyriadPro-Regular"/>
          <w:color w:val="414142"/>
          <w:sz w:val="20"/>
          <w:szCs w:val="20"/>
        </w:rPr>
        <w:t xml:space="preserve">tantes sindicales, productores, </w:t>
      </w:r>
      <w:r w:rsidRPr="007B5C11">
        <w:rPr>
          <w:rFonts w:ascii="MyriadPro-Regular" w:hAnsi="MyriadPro-Regular" w:cs="MyriadPro-Regular"/>
          <w:color w:val="414142"/>
          <w:sz w:val="20"/>
          <w:szCs w:val="20"/>
        </w:rPr>
        <w:t>artesanos, investigadores, ambientalistas, amas de casa y funcionarios públicos.</w:t>
      </w:r>
    </w:p>
    <w:p w14:paraId="15154D1E" w14:textId="77777777" w:rsidR="00E46DD9" w:rsidRPr="007B5C11" w:rsidRDefault="00E46DD9" w:rsidP="00640E1D">
      <w:pPr>
        <w:pStyle w:val="Prrafodelista"/>
        <w:numPr>
          <w:ilvl w:val="0"/>
          <w:numId w:val="30"/>
        </w:numPr>
        <w:autoSpaceDE w:val="0"/>
        <w:autoSpaceDN w:val="0"/>
        <w:adjustRightInd w:val="0"/>
        <w:spacing w:after="160"/>
        <w:ind w:left="284" w:hanging="284"/>
        <w:jc w:val="both"/>
        <w:rPr>
          <w:rFonts w:ascii="MyriadPro-Regular" w:hAnsi="MyriadPro-Regular" w:cs="MyriadPro-Regular"/>
          <w:color w:val="414142"/>
          <w:sz w:val="20"/>
          <w:szCs w:val="20"/>
        </w:rPr>
      </w:pPr>
      <w:r w:rsidRPr="007B5C11">
        <w:rPr>
          <w:rFonts w:ascii="MyriadPro-Regular" w:hAnsi="MyriadPro-Regular" w:cs="MyriadPro-Regular"/>
          <w:color w:val="414142"/>
          <w:sz w:val="20"/>
          <w:szCs w:val="20"/>
        </w:rPr>
        <w:lastRenderedPageBreak/>
        <w:t>A través de la instalación de mesas de trabajo, una por prioridad transversal, la sociedad participó de manera oral y con propuestas escritas, que constituyeron el principal insumo para la elaboración del PLADIEM.</w:t>
      </w:r>
    </w:p>
    <w:p w14:paraId="6D3C2407" w14:textId="77777777" w:rsidR="00E46DD9" w:rsidRPr="00A00313" w:rsidRDefault="00E46DD9" w:rsidP="007B5C11">
      <w:pPr>
        <w:autoSpaceDE w:val="0"/>
        <w:autoSpaceDN w:val="0"/>
        <w:adjustRightInd w:val="0"/>
        <w:spacing w:after="160" w:line="240" w:lineRule="auto"/>
        <w:ind w:left="284"/>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Aprovechando la presencia de las presidencias municipales, Diputados, Delegados Federales, Senadores y otras autoridades, se realizaron también mesas de trabajo y ejercicios de discusión de los retos regionales, que fueron fundamentales para determinar las prioridades del PLADIEM.</w:t>
      </w:r>
    </w:p>
    <w:p w14:paraId="373F2039" w14:textId="77777777" w:rsidR="00E46DD9" w:rsidRPr="00A00313" w:rsidRDefault="00E46DD9" w:rsidP="00933B38">
      <w:pPr>
        <w:autoSpaceDE w:val="0"/>
        <w:autoSpaceDN w:val="0"/>
        <w:adjustRightInd w:val="0"/>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El haber identificado de propia voz de los ciudadanos los temas de mayor preocupación ha permitido, a partir de estas prioridades, planear el</w:t>
      </w:r>
      <w:r w:rsidRPr="00933B38">
        <w:rPr>
          <w:rFonts w:ascii="MyriadPro-Regular" w:hAnsi="MyriadPro-Regular" w:cs="MyriadPro-Regular"/>
          <w:color w:val="414142"/>
          <w:sz w:val="20"/>
          <w:szCs w:val="20"/>
        </w:rPr>
        <w:t xml:space="preserve"> </w:t>
      </w:r>
      <w:r w:rsidRPr="00A00313">
        <w:rPr>
          <w:rFonts w:ascii="MyriadPro-Regular" w:hAnsi="MyriadPro-Regular" w:cs="MyriadPro-Regular"/>
          <w:color w:val="414142"/>
          <w:sz w:val="20"/>
          <w:szCs w:val="20"/>
        </w:rPr>
        <w:t>desarrollo integral del Estado con sustento y pertinencia.</w:t>
      </w:r>
    </w:p>
    <w:p w14:paraId="0BC3F1F8" w14:textId="77777777" w:rsidR="00E46DD9" w:rsidRPr="00A00313" w:rsidRDefault="00E46DD9" w:rsidP="00933B38">
      <w:pPr>
        <w:autoSpaceDE w:val="0"/>
        <w:autoSpaceDN w:val="0"/>
        <w:adjustRightInd w:val="0"/>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La participación de los jóvenes fue fundamental, pues fueron ellos quienes trascribían las propuestas de la ciudadanía en los instrumentos implementados, de tal manera que incluso ciudadanos que no sabían leer ni escribir, tuvieron la oportunidad de aportar su opinión, experiencia y propuestas. Asimismo, se contó con un traductor de lenguaje de señas que promovió la participación de las personas con discapacidad auditiva en todo el proceso.</w:t>
      </w:r>
    </w:p>
    <w:p w14:paraId="7726609A" w14:textId="04CAF7E0" w:rsidR="00E46DD9" w:rsidRPr="00A75B3A" w:rsidRDefault="00640E1D" w:rsidP="00933B38">
      <w:pPr>
        <w:widowControl w:val="0"/>
        <w:autoSpaceDE w:val="0"/>
        <w:autoSpaceDN w:val="0"/>
        <w:adjustRightInd w:val="0"/>
        <w:spacing w:after="0" w:line="180" w:lineRule="exact"/>
        <w:jc w:val="center"/>
        <w:rPr>
          <w:rFonts w:ascii="GalanoGrotesque-Medium" w:eastAsia="Times New Roman" w:hAnsi="GalanoGrotesque-Medium" w:cs="Arial"/>
          <w:b/>
          <w:sz w:val="16"/>
          <w:szCs w:val="24"/>
          <w:lang w:val="es-ES" w:eastAsia="es-ES"/>
        </w:rPr>
      </w:pPr>
      <w:r>
        <w:rPr>
          <w:rFonts w:ascii="GalanoGrotesque-Medium" w:eastAsia="Times New Roman" w:hAnsi="GalanoGrotesque-Medium" w:cs="Arial"/>
          <w:b/>
          <w:sz w:val="16"/>
          <w:szCs w:val="24"/>
          <w:lang w:val="es-ES" w:eastAsia="es-ES"/>
        </w:rPr>
        <w:t>Gráfica 1</w:t>
      </w:r>
    </w:p>
    <w:p w14:paraId="1654E5EA" w14:textId="77777777" w:rsidR="00E46DD9" w:rsidRPr="00A75B3A" w:rsidRDefault="00E46DD9" w:rsidP="00933B38">
      <w:pPr>
        <w:widowControl w:val="0"/>
        <w:autoSpaceDE w:val="0"/>
        <w:autoSpaceDN w:val="0"/>
        <w:adjustRightInd w:val="0"/>
        <w:spacing w:after="0" w:line="180" w:lineRule="exact"/>
        <w:jc w:val="center"/>
        <w:rPr>
          <w:rFonts w:ascii="GalanoGrotesque-Medium" w:eastAsia="Times New Roman" w:hAnsi="GalanoGrotesque-Medium" w:cs="Arial"/>
          <w:b/>
          <w:sz w:val="16"/>
          <w:szCs w:val="24"/>
          <w:lang w:val="es-ES" w:eastAsia="es-ES"/>
        </w:rPr>
      </w:pPr>
      <w:r w:rsidRPr="00A75B3A">
        <w:rPr>
          <w:rFonts w:ascii="GalanoGrotesque-Medium" w:eastAsia="Times New Roman" w:hAnsi="GalanoGrotesque-Medium" w:cs="Arial"/>
          <w:b/>
          <w:sz w:val="16"/>
          <w:szCs w:val="24"/>
          <w:lang w:val="es-ES" w:eastAsia="es-ES"/>
        </w:rPr>
        <w:t>Porcentaje de propuestas recibidas por prioridad transversal</w:t>
      </w:r>
    </w:p>
    <w:p w14:paraId="5205001F" w14:textId="77777777" w:rsidR="00E46DD9" w:rsidRPr="00E46DD9" w:rsidRDefault="00E46DD9" w:rsidP="00E46DD9">
      <w:pPr>
        <w:spacing w:after="240"/>
        <w:contextualSpacing/>
        <w:rPr>
          <w:rFonts w:ascii="GalanoGrotesque-Medium" w:eastAsia="Times New Roman" w:hAnsi="GalanoGrotesque-Medium" w:cs="Arial"/>
          <w:b/>
          <w:sz w:val="20"/>
          <w:szCs w:val="20"/>
          <w:lang w:val="es-ES" w:eastAsia="es-ES"/>
        </w:rPr>
      </w:pPr>
      <w:r w:rsidRPr="00E46DD9">
        <w:rPr>
          <w:rFonts w:ascii="GalanoGrotesque-Medium" w:eastAsia="Times New Roman" w:hAnsi="GalanoGrotesque-Medium" w:cs="Arial"/>
          <w:b/>
          <w:noProof/>
          <w:sz w:val="20"/>
          <w:szCs w:val="20"/>
          <w:lang w:val="es-ES" w:eastAsia="es-ES"/>
        </w:rPr>
        <w:drawing>
          <wp:inline distT="0" distB="0" distL="0" distR="0" wp14:anchorId="49EC1A4B" wp14:editId="01B97D40">
            <wp:extent cx="2915361" cy="2436725"/>
            <wp:effectExtent l="0" t="0" r="0" b="1905"/>
            <wp:docPr id="59398" name="Imagen 5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993" cy="2468179"/>
                    </a:xfrm>
                    <a:prstGeom prst="rect">
                      <a:avLst/>
                    </a:prstGeom>
                    <a:noFill/>
                    <a:ln>
                      <a:noFill/>
                    </a:ln>
                  </pic:spPr>
                </pic:pic>
              </a:graphicData>
            </a:graphic>
          </wp:inline>
        </w:drawing>
      </w:r>
    </w:p>
    <w:p w14:paraId="24E2955B" w14:textId="77777777" w:rsidR="00E46DD9" w:rsidRPr="00933B38" w:rsidRDefault="00E46DD9" w:rsidP="00933B38">
      <w:pPr>
        <w:spacing w:after="0" w:line="180" w:lineRule="exact"/>
        <w:jc w:val="both"/>
        <w:rPr>
          <w:rFonts w:ascii="GalanoGrotesque-Regular" w:hAnsi="GalanoGrotesque-Regular" w:cs="Arial"/>
          <w:sz w:val="14"/>
          <w:szCs w:val="20"/>
        </w:rPr>
      </w:pPr>
      <w:r w:rsidRPr="00933B38">
        <w:rPr>
          <w:rFonts w:ascii="GalanoGrotesque-Regular" w:hAnsi="GalanoGrotesque-Regular" w:cs="Arial"/>
          <w:sz w:val="14"/>
          <w:szCs w:val="20"/>
        </w:rPr>
        <w:t>Fuente: Elaboración propia, Coordinación General de Gabinete y Planeación del Gobierno de Michoacán.</w:t>
      </w:r>
    </w:p>
    <w:p w14:paraId="238893B6" w14:textId="77777777" w:rsidR="00E46DD9" w:rsidRDefault="00E46DD9" w:rsidP="00E46DD9">
      <w:pPr>
        <w:spacing w:after="0"/>
        <w:jc w:val="both"/>
        <w:rPr>
          <w:rFonts w:ascii="GalanoGrotesque-Regular" w:eastAsia="Times New Roman" w:hAnsi="GalanoGrotesque-Regular" w:cs="Arial"/>
          <w:sz w:val="20"/>
          <w:szCs w:val="20"/>
          <w:lang w:val="es-ES" w:eastAsia="es-ES"/>
        </w:rPr>
      </w:pPr>
    </w:p>
    <w:p w14:paraId="522E48F6" w14:textId="77777777" w:rsidR="007B4312" w:rsidRDefault="007B4312" w:rsidP="00933B38">
      <w:pPr>
        <w:spacing w:after="160" w:line="240" w:lineRule="auto"/>
        <w:jc w:val="both"/>
        <w:rPr>
          <w:rFonts w:ascii="MyriadPro-Regular" w:hAnsi="MyriadPro-Regular" w:cs="MyriadPro-Regular"/>
          <w:color w:val="414142"/>
          <w:sz w:val="20"/>
          <w:szCs w:val="20"/>
        </w:rPr>
      </w:pPr>
    </w:p>
    <w:p w14:paraId="54B1F648" w14:textId="77777777" w:rsidR="007B4312" w:rsidRDefault="007B4312" w:rsidP="00933B38">
      <w:pPr>
        <w:spacing w:after="160" w:line="240" w:lineRule="auto"/>
        <w:jc w:val="both"/>
        <w:rPr>
          <w:rFonts w:ascii="MyriadPro-Regular" w:hAnsi="MyriadPro-Regular" w:cs="MyriadPro-Regular"/>
          <w:color w:val="414142"/>
          <w:sz w:val="20"/>
          <w:szCs w:val="20"/>
        </w:rPr>
      </w:pPr>
    </w:p>
    <w:p w14:paraId="4A421E18" w14:textId="77777777" w:rsidR="007B4312" w:rsidRDefault="007B4312" w:rsidP="00933B38">
      <w:pPr>
        <w:spacing w:after="160" w:line="240" w:lineRule="auto"/>
        <w:jc w:val="both"/>
        <w:rPr>
          <w:rFonts w:ascii="MyriadPro-Regular" w:hAnsi="MyriadPro-Regular" w:cs="MyriadPro-Regular"/>
          <w:color w:val="414142"/>
          <w:sz w:val="20"/>
          <w:szCs w:val="20"/>
        </w:rPr>
      </w:pPr>
    </w:p>
    <w:p w14:paraId="499763D1" w14:textId="77777777" w:rsidR="00E46DD9" w:rsidRPr="00A00313" w:rsidRDefault="00E46DD9" w:rsidP="00933B38">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Los foros tuvieron un carácter incluyente, fomentando la participación de diversos grupos de</w:t>
      </w:r>
      <w:r w:rsidRPr="00933B38">
        <w:rPr>
          <w:rFonts w:ascii="MyriadPro-Regular" w:hAnsi="MyriadPro-Regular" w:cs="MyriadPro-Regular"/>
          <w:color w:val="414142"/>
          <w:sz w:val="20"/>
          <w:szCs w:val="20"/>
        </w:rPr>
        <w:t xml:space="preserve"> </w:t>
      </w:r>
      <w:r w:rsidRPr="00A00313">
        <w:rPr>
          <w:rFonts w:ascii="MyriadPro-Regular" w:hAnsi="MyriadPro-Regular" w:cs="MyriadPro-Regular"/>
          <w:color w:val="414142"/>
          <w:sz w:val="20"/>
          <w:szCs w:val="20"/>
        </w:rPr>
        <w:t>organizaciones sindicales, de transportistas, de estudiantes, amas de casa, artesanos, entre otros. El Gobernador estuvo presente en cada uno de los foros compartiendo su visión de gobierno y favoreció el dialogo directo con los participantes.</w:t>
      </w:r>
    </w:p>
    <w:p w14:paraId="4FDD1354" w14:textId="77777777" w:rsidR="00E46DD9" w:rsidRPr="00A00313" w:rsidRDefault="00E46DD9" w:rsidP="00933B38">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Dos tipos de instrumentos permitieron la captura y registro de las propuestas: </w:t>
      </w:r>
    </w:p>
    <w:p w14:paraId="6F3B6583" w14:textId="77777777" w:rsidR="00E46DD9" w:rsidRPr="00771E48" w:rsidRDefault="00771E48" w:rsidP="001A1FC2">
      <w:pPr>
        <w:numPr>
          <w:ilvl w:val="0"/>
          <w:numId w:val="4"/>
        </w:numPr>
        <w:spacing w:after="160" w:line="240" w:lineRule="auto"/>
        <w:ind w:left="568" w:hanging="284"/>
        <w:jc w:val="both"/>
        <w:rPr>
          <w:rFonts w:ascii="MyriadPro-Regular" w:hAnsi="MyriadPro-Regular" w:cs="MyriadPro-Regular"/>
          <w:b/>
          <w:color w:val="414142"/>
          <w:sz w:val="20"/>
          <w:szCs w:val="20"/>
        </w:rPr>
      </w:pPr>
      <w:r>
        <w:rPr>
          <w:rFonts w:ascii="MyriadPro-Regular" w:hAnsi="MyriadPro-Regular" w:cs="MyriadPro-Regular"/>
          <w:b/>
          <w:color w:val="414142"/>
          <w:sz w:val="20"/>
          <w:szCs w:val="20"/>
        </w:rPr>
        <w:t xml:space="preserve">Se </w:t>
      </w:r>
      <w:r w:rsidR="00E46DD9" w:rsidRPr="00771E48">
        <w:rPr>
          <w:rFonts w:ascii="MyriadPro-Regular" w:hAnsi="MyriadPro-Regular" w:cs="MyriadPro-Regular"/>
          <w:b/>
          <w:color w:val="414142"/>
          <w:sz w:val="20"/>
          <w:szCs w:val="20"/>
        </w:rPr>
        <w:t>levantaron encuestas tanto en los foros como a través de los buzones municipales. Dicha encuesta también estuvo disponible a través de la página del gobierno en Internet.</w:t>
      </w:r>
    </w:p>
    <w:p w14:paraId="54B25749" w14:textId="77777777" w:rsidR="00E46DD9" w:rsidRDefault="00E46DD9" w:rsidP="001A1FC2">
      <w:pPr>
        <w:numPr>
          <w:ilvl w:val="0"/>
          <w:numId w:val="4"/>
        </w:numPr>
        <w:spacing w:after="160" w:line="240" w:lineRule="auto"/>
        <w:ind w:left="568" w:hanging="284"/>
        <w:jc w:val="both"/>
        <w:rPr>
          <w:rFonts w:ascii="MyriadPro-Regular" w:hAnsi="MyriadPro-Regular" w:cs="MyriadPro-Regular"/>
          <w:b/>
          <w:color w:val="414142"/>
          <w:sz w:val="20"/>
          <w:szCs w:val="20"/>
        </w:rPr>
      </w:pPr>
      <w:r w:rsidRPr="00771E48">
        <w:rPr>
          <w:rFonts w:ascii="MyriadPro-Regular" w:hAnsi="MyriadPro-Regular" w:cs="MyriadPro-Regular"/>
          <w:b/>
          <w:color w:val="414142"/>
          <w:sz w:val="20"/>
          <w:szCs w:val="20"/>
        </w:rPr>
        <w:t>Se diseñó una cédula de participación que permitió recoger las propuestas ciudadanas por cada mesa de trabajo de cada una de las prioridades transversales.</w:t>
      </w:r>
    </w:p>
    <w:p w14:paraId="0EDAF983" w14:textId="60877E16" w:rsidR="00640E1D" w:rsidRDefault="00640E1D" w:rsidP="00933B38">
      <w:pPr>
        <w:widowControl w:val="0"/>
        <w:autoSpaceDE w:val="0"/>
        <w:autoSpaceDN w:val="0"/>
        <w:adjustRightInd w:val="0"/>
        <w:spacing w:after="0" w:line="180" w:lineRule="exact"/>
        <w:jc w:val="center"/>
        <w:rPr>
          <w:rFonts w:ascii="GalanoGrotesque-Medium" w:eastAsia="Times New Roman" w:hAnsi="GalanoGrotesque-Medium" w:cs="Arial"/>
          <w:b/>
          <w:sz w:val="16"/>
          <w:szCs w:val="24"/>
          <w:highlight w:val="yellow"/>
          <w:lang w:val="es-ES" w:eastAsia="es-ES"/>
        </w:rPr>
      </w:pPr>
    </w:p>
    <w:p w14:paraId="11F01E93" w14:textId="5E17E03C" w:rsidR="00771E48" w:rsidRPr="00640E1D" w:rsidRDefault="00640E1D" w:rsidP="00933B38">
      <w:pPr>
        <w:widowControl w:val="0"/>
        <w:autoSpaceDE w:val="0"/>
        <w:autoSpaceDN w:val="0"/>
        <w:adjustRightInd w:val="0"/>
        <w:spacing w:after="0" w:line="180" w:lineRule="exact"/>
        <w:jc w:val="center"/>
        <w:rPr>
          <w:rFonts w:ascii="GalanoGrotesque-Medium" w:eastAsia="Times New Roman" w:hAnsi="GalanoGrotesque-Medium" w:cs="Arial"/>
          <w:b/>
          <w:sz w:val="16"/>
          <w:szCs w:val="24"/>
          <w:lang w:val="es-ES" w:eastAsia="es-ES"/>
        </w:rPr>
      </w:pPr>
      <w:r>
        <w:rPr>
          <w:rFonts w:ascii="GalanoGrotesque-Medium" w:eastAsia="Times New Roman" w:hAnsi="GalanoGrotesque-Medium" w:cs="Arial"/>
          <w:b/>
          <w:sz w:val="16"/>
          <w:szCs w:val="24"/>
          <w:lang w:val="es-ES" w:eastAsia="es-ES"/>
        </w:rPr>
        <w:t>Gráfica 2</w:t>
      </w:r>
    </w:p>
    <w:p w14:paraId="43D1A79F" w14:textId="77777777" w:rsidR="00771E48" w:rsidRPr="00640E1D" w:rsidRDefault="00771E48" w:rsidP="00933B38">
      <w:pPr>
        <w:widowControl w:val="0"/>
        <w:autoSpaceDE w:val="0"/>
        <w:autoSpaceDN w:val="0"/>
        <w:adjustRightInd w:val="0"/>
        <w:spacing w:after="0" w:line="180" w:lineRule="exact"/>
        <w:jc w:val="center"/>
        <w:rPr>
          <w:rFonts w:ascii="GalanoGrotesque-Medium" w:eastAsia="Times New Roman" w:hAnsi="GalanoGrotesque-Medium" w:cs="Arial"/>
          <w:b/>
          <w:sz w:val="16"/>
          <w:szCs w:val="24"/>
          <w:lang w:val="es-ES" w:eastAsia="es-ES"/>
        </w:rPr>
      </w:pPr>
      <w:r w:rsidRPr="00640E1D">
        <w:rPr>
          <w:rFonts w:ascii="GalanoGrotesque-Medium" w:eastAsia="Times New Roman" w:hAnsi="GalanoGrotesque-Medium" w:cs="Arial"/>
          <w:b/>
          <w:sz w:val="16"/>
          <w:szCs w:val="24"/>
          <w:lang w:val="es-ES" w:eastAsia="es-ES"/>
        </w:rPr>
        <w:t>Opiniones sobre las prioridades transversales para el ámbito regional</w:t>
      </w:r>
    </w:p>
    <w:p w14:paraId="5D185DC5" w14:textId="77777777" w:rsidR="00771E48" w:rsidRPr="00771E48" w:rsidRDefault="00771E48" w:rsidP="00771E48">
      <w:pPr>
        <w:widowControl w:val="0"/>
        <w:autoSpaceDE w:val="0"/>
        <w:autoSpaceDN w:val="0"/>
        <w:adjustRightInd w:val="0"/>
        <w:spacing w:after="0" w:line="240" w:lineRule="atLeast"/>
        <w:jc w:val="center"/>
        <w:rPr>
          <w:rFonts w:ascii="GalanoGrotesque-Medium" w:eastAsia="Times New Roman" w:hAnsi="GalanoGrotesque-Medium" w:cs="Arial"/>
          <w:sz w:val="16"/>
          <w:szCs w:val="24"/>
          <w:lang w:val="es-ES" w:eastAsia="es-ES"/>
        </w:rPr>
      </w:pPr>
    </w:p>
    <w:p w14:paraId="0AD234B2" w14:textId="77777777" w:rsidR="001A1FC2" w:rsidRDefault="00771E48" w:rsidP="00933B38">
      <w:pPr>
        <w:spacing w:after="0" w:line="180" w:lineRule="atLeast"/>
        <w:rPr>
          <w:rFonts w:ascii="GalanoGrotesque-Regular" w:hAnsi="GalanoGrotesque-Regular" w:cs="Arial"/>
          <w:sz w:val="14"/>
          <w:szCs w:val="20"/>
        </w:rPr>
      </w:pPr>
      <w:r w:rsidRPr="001E7327">
        <w:rPr>
          <w:rFonts w:ascii="GalanoGrotesque-Medium" w:hAnsi="GalanoGrotesque-Medium"/>
          <w:noProof/>
          <w:lang w:val="es-ES" w:eastAsia="es-ES"/>
        </w:rPr>
        <w:drawing>
          <wp:inline distT="0" distB="0" distL="0" distR="0" wp14:anchorId="4406B719" wp14:editId="50AB126D">
            <wp:extent cx="3146400" cy="14508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46400" cy="1450800"/>
                    </a:xfrm>
                    <a:prstGeom prst="rect">
                      <a:avLst/>
                    </a:prstGeom>
                  </pic:spPr>
                </pic:pic>
              </a:graphicData>
            </a:graphic>
          </wp:inline>
        </w:drawing>
      </w:r>
    </w:p>
    <w:p w14:paraId="3D3C5A3F" w14:textId="77777777" w:rsidR="001A1FC2" w:rsidRDefault="001A1FC2" w:rsidP="001A1FC2">
      <w:pPr>
        <w:spacing w:after="0" w:line="180" w:lineRule="exact"/>
        <w:rPr>
          <w:rFonts w:ascii="GalanoGrotesque-Regular" w:hAnsi="GalanoGrotesque-Regular" w:cs="Arial"/>
          <w:sz w:val="14"/>
          <w:szCs w:val="20"/>
        </w:rPr>
      </w:pPr>
    </w:p>
    <w:p w14:paraId="4F5EE499" w14:textId="77777777" w:rsidR="00771E48" w:rsidRDefault="00771E48" w:rsidP="001A1FC2">
      <w:pPr>
        <w:spacing w:after="0" w:line="180" w:lineRule="exact"/>
        <w:rPr>
          <w:rFonts w:ascii="GalanoGrotesque-Regular" w:hAnsi="GalanoGrotesque-Regular" w:cs="Arial"/>
          <w:sz w:val="14"/>
          <w:szCs w:val="20"/>
        </w:rPr>
      </w:pPr>
      <w:r w:rsidRPr="00933B38">
        <w:rPr>
          <w:rFonts w:ascii="GalanoGrotesque-Regular" w:hAnsi="GalanoGrotesque-Regular" w:cs="Arial"/>
          <w:sz w:val="14"/>
          <w:szCs w:val="20"/>
        </w:rPr>
        <w:t>Fuente: Elaboración propia</w:t>
      </w:r>
      <w:r w:rsidR="00933B38" w:rsidRPr="00933B38">
        <w:rPr>
          <w:rFonts w:ascii="GalanoGrotesque-Regular" w:hAnsi="GalanoGrotesque-Regular" w:cs="Arial"/>
          <w:sz w:val="14"/>
          <w:szCs w:val="20"/>
        </w:rPr>
        <w:t xml:space="preserve"> con base en los Foros de Consulta y Participación Ciudadana, Coordinación General de Gabinete y Planeación</w:t>
      </w:r>
      <w:r w:rsidR="00A75B3A">
        <w:rPr>
          <w:rFonts w:ascii="GalanoGrotesque-Regular" w:hAnsi="GalanoGrotesque-Regular" w:cs="Arial"/>
          <w:sz w:val="14"/>
          <w:szCs w:val="20"/>
        </w:rPr>
        <w:t xml:space="preserve"> del Gobierno de Michoacán</w:t>
      </w:r>
    </w:p>
    <w:p w14:paraId="0674A6E4" w14:textId="77777777" w:rsidR="001A1FC2" w:rsidRDefault="001A1FC2" w:rsidP="001A1FC2">
      <w:pPr>
        <w:spacing w:after="0" w:line="180" w:lineRule="exact"/>
        <w:rPr>
          <w:rFonts w:ascii="GalanoGrotesque-Regular" w:hAnsi="GalanoGrotesque-Regular" w:cs="Arial"/>
          <w:sz w:val="14"/>
          <w:szCs w:val="20"/>
        </w:rPr>
      </w:pPr>
    </w:p>
    <w:p w14:paraId="44331C1F" w14:textId="77777777" w:rsidR="00933B38" w:rsidRDefault="00933B38" w:rsidP="00933B38">
      <w:pPr>
        <w:autoSpaceDE w:val="0"/>
        <w:autoSpaceDN w:val="0"/>
        <w:adjustRightInd w:val="0"/>
        <w:spacing w:after="160" w:line="240" w:lineRule="auto"/>
        <w:jc w:val="both"/>
        <w:rPr>
          <w:rFonts w:ascii="MyriadPro-Regular" w:hAnsi="MyriadPro-Regular" w:cs="MyriadPro-Regular"/>
          <w:color w:val="414142"/>
          <w:sz w:val="20"/>
          <w:szCs w:val="20"/>
        </w:rPr>
      </w:pPr>
      <w:r>
        <w:rPr>
          <w:rFonts w:ascii="MyriadPro-Regular" w:hAnsi="MyriadPro-Regular" w:cs="MyriadPro-Regular"/>
          <w:color w:val="414142"/>
          <w:sz w:val="20"/>
          <w:szCs w:val="20"/>
        </w:rPr>
        <w:t>La encuesta recogió la opinión de los participantes con respecto a las prioridades que les parecían más importantes tanto para el Estado como para la  región. De esta manera, las prioridades transversales se jerarquizaron por orden de importancia en estos dos ámbitos, estatal y regional. Sobre las prioridades para la región, los participantes opinaron que el desarrollo económico, la inversión y el empleo digno deberían ser en su conjunto la mayor de las prioridades para el gobierno (Gráfica 3).</w:t>
      </w:r>
    </w:p>
    <w:p w14:paraId="77CA99F0" w14:textId="77777777" w:rsidR="00482384" w:rsidRDefault="00482384" w:rsidP="00933B38">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Además, los participantes opinaron sobre los principales proyectos que consideraban de mayor </w:t>
      </w:r>
      <w:r w:rsidRPr="00A00313">
        <w:rPr>
          <w:rFonts w:ascii="MyriadPro-Regular" w:hAnsi="MyriadPro-Regular" w:cs="MyriadPro-Regular"/>
          <w:color w:val="414142"/>
          <w:sz w:val="20"/>
          <w:szCs w:val="20"/>
        </w:rPr>
        <w:lastRenderedPageBreak/>
        <w:t>relevancia para sus municipios y se obtuvieron 13,530 propuestas ciudadanas (Figura 4).</w:t>
      </w:r>
    </w:p>
    <w:p w14:paraId="09B05D68" w14:textId="77777777" w:rsidR="00482384" w:rsidRPr="00933B38" w:rsidRDefault="00482384" w:rsidP="00933B38">
      <w:pPr>
        <w:widowControl w:val="0"/>
        <w:autoSpaceDE w:val="0"/>
        <w:autoSpaceDN w:val="0"/>
        <w:adjustRightInd w:val="0"/>
        <w:spacing w:after="0" w:line="180" w:lineRule="exact"/>
        <w:jc w:val="center"/>
        <w:rPr>
          <w:rFonts w:ascii="GalanoGrotesque-Medium" w:eastAsia="Times New Roman" w:hAnsi="GalanoGrotesque-Medium" w:cs="Arial"/>
          <w:b/>
          <w:sz w:val="16"/>
          <w:szCs w:val="24"/>
          <w:lang w:val="es-ES" w:eastAsia="es-ES"/>
        </w:rPr>
      </w:pPr>
      <w:r w:rsidRPr="00933B38">
        <w:rPr>
          <w:rFonts w:ascii="GalanoGrotesque-Medium" w:eastAsia="Times New Roman" w:hAnsi="GalanoGrotesque-Medium" w:cs="Arial"/>
          <w:b/>
          <w:sz w:val="16"/>
          <w:szCs w:val="24"/>
          <w:lang w:val="es-ES" w:eastAsia="es-ES"/>
        </w:rPr>
        <w:t>Figura 4</w:t>
      </w:r>
    </w:p>
    <w:p w14:paraId="4DFC048B" w14:textId="77777777" w:rsidR="00933B38" w:rsidRPr="00933B38" w:rsidRDefault="00482384" w:rsidP="00933B38">
      <w:pPr>
        <w:widowControl w:val="0"/>
        <w:autoSpaceDE w:val="0"/>
        <w:autoSpaceDN w:val="0"/>
        <w:adjustRightInd w:val="0"/>
        <w:spacing w:after="0" w:line="180" w:lineRule="exact"/>
        <w:jc w:val="center"/>
        <w:rPr>
          <w:rFonts w:ascii="GalanoGrotesque-Medium" w:eastAsia="Times New Roman" w:hAnsi="GalanoGrotesque-Medium" w:cs="Arial"/>
          <w:b/>
          <w:sz w:val="16"/>
          <w:szCs w:val="24"/>
          <w:highlight w:val="yellow"/>
          <w:lang w:val="es-ES" w:eastAsia="es-ES"/>
        </w:rPr>
      </w:pPr>
      <w:r w:rsidRPr="00933B38">
        <w:rPr>
          <w:rFonts w:ascii="GalanoGrotesque-Medium" w:eastAsia="Times New Roman" w:hAnsi="GalanoGrotesque-Medium" w:cs="Arial"/>
          <w:b/>
          <w:sz w:val="16"/>
          <w:szCs w:val="24"/>
          <w:lang w:val="es-ES" w:eastAsia="es-ES"/>
        </w:rPr>
        <w:t>Propuestas recibidas por prioridad transversal en el ámbito municipal</w:t>
      </w:r>
    </w:p>
    <w:tbl>
      <w:tblPr>
        <w:tblW w:w="5000" w:type="pct"/>
        <w:tblLayout w:type="fixed"/>
        <w:tblCellMar>
          <w:left w:w="70" w:type="dxa"/>
          <w:right w:w="70" w:type="dxa"/>
        </w:tblCellMar>
        <w:tblLook w:val="04A0" w:firstRow="1" w:lastRow="0" w:firstColumn="1" w:lastColumn="0" w:noHBand="0" w:noVBand="1"/>
      </w:tblPr>
      <w:tblGrid>
        <w:gridCol w:w="3539"/>
        <w:gridCol w:w="869"/>
      </w:tblGrid>
      <w:tr w:rsidR="00933B38" w:rsidRPr="00EF51CC" w14:paraId="1335D1C9" w14:textId="77777777" w:rsidTr="002034DC">
        <w:trPr>
          <w:trHeight w:val="275"/>
        </w:trPr>
        <w:tc>
          <w:tcPr>
            <w:tcW w:w="401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8473750" w14:textId="77777777" w:rsidR="00933B38" w:rsidRPr="00EF51CC" w:rsidRDefault="00933B38" w:rsidP="002034DC">
            <w:pPr>
              <w:spacing w:after="0" w:line="240" w:lineRule="auto"/>
              <w:jc w:val="center"/>
              <w:rPr>
                <w:rFonts w:ascii="Myriad Pro" w:eastAsia="Times New Roman" w:hAnsi="Myriad Pro" w:cs="Arial"/>
                <w:b/>
                <w:bCs/>
                <w:color w:val="000000"/>
                <w:sz w:val="12"/>
                <w:szCs w:val="12"/>
                <w:lang w:val="es-ES" w:eastAsia="es-MX"/>
              </w:rPr>
            </w:pPr>
            <w:r w:rsidRPr="00EF51CC">
              <w:rPr>
                <w:rFonts w:ascii="Myriad Pro" w:eastAsia="Times New Roman" w:hAnsi="Myriad Pro" w:cs="Arial"/>
                <w:b/>
                <w:bCs/>
                <w:color w:val="000000"/>
                <w:sz w:val="12"/>
                <w:szCs w:val="12"/>
                <w:lang w:val="es-ES" w:eastAsia="es-MX"/>
              </w:rPr>
              <w:t xml:space="preserve">Prioridad </w:t>
            </w:r>
          </w:p>
        </w:tc>
        <w:tc>
          <w:tcPr>
            <w:tcW w:w="986" w:type="pct"/>
            <w:tcBorders>
              <w:top w:val="single" w:sz="4" w:space="0" w:color="auto"/>
              <w:left w:val="nil"/>
              <w:bottom w:val="single" w:sz="4" w:space="0" w:color="auto"/>
              <w:right w:val="single" w:sz="4" w:space="0" w:color="auto"/>
            </w:tcBorders>
            <w:shd w:val="clear" w:color="auto" w:fill="D6E3BC" w:themeFill="accent3" w:themeFillTint="66"/>
            <w:vAlign w:val="center"/>
            <w:hideMark/>
          </w:tcPr>
          <w:p w14:paraId="3F21EAB4" w14:textId="77777777" w:rsidR="00933B38" w:rsidRPr="00EF51CC" w:rsidRDefault="00933B38" w:rsidP="002034DC">
            <w:pPr>
              <w:spacing w:after="0" w:line="240" w:lineRule="auto"/>
              <w:jc w:val="center"/>
              <w:rPr>
                <w:rFonts w:ascii="Myriad Pro" w:eastAsia="Times New Roman" w:hAnsi="Myriad Pro" w:cs="Arial"/>
                <w:b/>
                <w:bCs/>
                <w:color w:val="000000"/>
                <w:sz w:val="12"/>
                <w:szCs w:val="12"/>
                <w:lang w:val="es-ES" w:eastAsia="es-MX"/>
              </w:rPr>
            </w:pPr>
            <w:r w:rsidRPr="00EF51CC">
              <w:rPr>
                <w:rFonts w:ascii="Myriad Pro" w:eastAsia="Times New Roman" w:hAnsi="Myriad Pro" w:cs="Arial"/>
                <w:b/>
                <w:bCs/>
                <w:color w:val="000000"/>
                <w:sz w:val="12"/>
                <w:szCs w:val="12"/>
                <w:lang w:val="es-ES" w:eastAsia="es-MX"/>
              </w:rPr>
              <w:t>Cantidad Propuestas</w:t>
            </w:r>
          </w:p>
        </w:tc>
      </w:tr>
      <w:tr w:rsidR="00933B38" w:rsidRPr="00EF51CC" w14:paraId="30BB146D" w14:textId="77777777" w:rsidTr="002034DC">
        <w:trPr>
          <w:trHeight w:val="151"/>
        </w:trPr>
        <w:tc>
          <w:tcPr>
            <w:tcW w:w="4014" w:type="pct"/>
            <w:tcBorders>
              <w:top w:val="nil"/>
              <w:left w:val="single" w:sz="4" w:space="0" w:color="auto"/>
              <w:bottom w:val="single" w:sz="4" w:space="0" w:color="auto"/>
              <w:right w:val="single" w:sz="4" w:space="0" w:color="auto"/>
            </w:tcBorders>
            <w:shd w:val="clear" w:color="auto" w:fill="auto"/>
            <w:vAlign w:val="center"/>
            <w:hideMark/>
          </w:tcPr>
          <w:p w14:paraId="12BDD00F" w14:textId="77777777" w:rsidR="00933B38" w:rsidRPr="00EF51CC" w:rsidRDefault="00933B38" w:rsidP="002034DC">
            <w:pPr>
              <w:spacing w:after="80" w:line="240" w:lineRule="auto"/>
              <w:rPr>
                <w:rFonts w:ascii="Myriad Pro" w:eastAsia="Times New Roman" w:hAnsi="Myriad Pro" w:cs="Arial"/>
                <w:color w:val="000000"/>
                <w:sz w:val="12"/>
                <w:szCs w:val="12"/>
                <w:lang w:val="es-ES" w:eastAsia="es-MX"/>
              </w:rPr>
            </w:pPr>
            <w:r w:rsidRPr="00EF51CC">
              <w:rPr>
                <w:rFonts w:ascii="Myriad Pro" w:eastAsia="Times New Roman" w:hAnsi="Myriad Pro" w:cs="Arial"/>
                <w:color w:val="000000"/>
                <w:sz w:val="12"/>
                <w:szCs w:val="12"/>
                <w:lang w:val="es-ES" w:eastAsia="es-MX"/>
              </w:rPr>
              <w:t>Desarrollo humano, educación de calidad y acceso a la salud</w:t>
            </w:r>
          </w:p>
        </w:tc>
        <w:tc>
          <w:tcPr>
            <w:tcW w:w="986" w:type="pct"/>
            <w:tcBorders>
              <w:top w:val="nil"/>
              <w:left w:val="nil"/>
              <w:bottom w:val="single" w:sz="4" w:space="0" w:color="auto"/>
              <w:right w:val="single" w:sz="4" w:space="0" w:color="auto"/>
            </w:tcBorders>
            <w:shd w:val="clear" w:color="auto" w:fill="auto"/>
            <w:vAlign w:val="center"/>
            <w:hideMark/>
          </w:tcPr>
          <w:p w14:paraId="16E3803B" w14:textId="77777777" w:rsidR="00933B38" w:rsidRPr="00EF51CC" w:rsidRDefault="00933B38" w:rsidP="002034DC">
            <w:pPr>
              <w:spacing w:after="80" w:line="240" w:lineRule="auto"/>
              <w:jc w:val="right"/>
              <w:rPr>
                <w:rFonts w:ascii="Myriad Pro" w:eastAsia="Times New Roman" w:hAnsi="Myriad Pro" w:cs="Calibri"/>
                <w:color w:val="000000"/>
                <w:sz w:val="12"/>
                <w:szCs w:val="12"/>
                <w:lang w:val="es-ES" w:eastAsia="es-MX"/>
              </w:rPr>
            </w:pPr>
            <w:r w:rsidRPr="00EF51CC">
              <w:rPr>
                <w:rFonts w:ascii="Myriad Pro" w:eastAsia="Times New Roman" w:hAnsi="Myriad Pro" w:cs="Calibri"/>
                <w:color w:val="000000"/>
                <w:sz w:val="12"/>
                <w:szCs w:val="12"/>
                <w:lang w:val="es-ES" w:eastAsia="es-MX"/>
              </w:rPr>
              <w:t xml:space="preserve">1,627 </w:t>
            </w:r>
          </w:p>
        </w:tc>
      </w:tr>
      <w:tr w:rsidR="00933B38" w:rsidRPr="00EF51CC" w14:paraId="774143E6" w14:textId="77777777" w:rsidTr="002034DC">
        <w:trPr>
          <w:trHeight w:val="153"/>
        </w:trPr>
        <w:tc>
          <w:tcPr>
            <w:tcW w:w="4014" w:type="pct"/>
            <w:tcBorders>
              <w:top w:val="nil"/>
              <w:left w:val="single" w:sz="4" w:space="0" w:color="auto"/>
              <w:bottom w:val="single" w:sz="4" w:space="0" w:color="auto"/>
              <w:right w:val="single" w:sz="4" w:space="0" w:color="auto"/>
            </w:tcBorders>
            <w:shd w:val="clear" w:color="auto" w:fill="auto"/>
            <w:vAlign w:val="center"/>
            <w:hideMark/>
          </w:tcPr>
          <w:p w14:paraId="140B6DE5" w14:textId="77777777" w:rsidR="00933B38" w:rsidRPr="00EF51CC" w:rsidRDefault="00933B38" w:rsidP="002034DC">
            <w:pPr>
              <w:spacing w:after="80" w:line="240" w:lineRule="auto"/>
              <w:rPr>
                <w:rFonts w:ascii="Myriad Pro" w:eastAsia="Times New Roman" w:hAnsi="Myriad Pro" w:cs="Arial"/>
                <w:color w:val="000000"/>
                <w:sz w:val="12"/>
                <w:szCs w:val="12"/>
                <w:lang w:val="es-ES" w:eastAsia="es-MX"/>
              </w:rPr>
            </w:pPr>
            <w:r w:rsidRPr="00EF51CC">
              <w:rPr>
                <w:rFonts w:ascii="Myriad Pro" w:eastAsia="Times New Roman" w:hAnsi="Myriad Pro" w:cs="Arial"/>
                <w:color w:val="000000"/>
                <w:sz w:val="12"/>
                <w:szCs w:val="12"/>
                <w:lang w:val="es-ES" w:eastAsia="es-MX"/>
              </w:rPr>
              <w:t>Tranquilidad, justicia y paz</w:t>
            </w:r>
          </w:p>
        </w:tc>
        <w:tc>
          <w:tcPr>
            <w:tcW w:w="986" w:type="pct"/>
            <w:tcBorders>
              <w:top w:val="nil"/>
              <w:left w:val="nil"/>
              <w:bottom w:val="single" w:sz="4" w:space="0" w:color="auto"/>
              <w:right w:val="single" w:sz="4" w:space="0" w:color="auto"/>
            </w:tcBorders>
            <w:shd w:val="clear" w:color="auto" w:fill="auto"/>
            <w:vAlign w:val="center"/>
            <w:hideMark/>
          </w:tcPr>
          <w:p w14:paraId="1583AAEF" w14:textId="77777777" w:rsidR="00933B38" w:rsidRPr="00EF51CC" w:rsidRDefault="00933B38" w:rsidP="002034DC">
            <w:pPr>
              <w:spacing w:after="80" w:line="240" w:lineRule="auto"/>
              <w:jc w:val="right"/>
              <w:rPr>
                <w:rFonts w:ascii="Myriad Pro" w:eastAsia="Times New Roman" w:hAnsi="Myriad Pro" w:cs="Calibri"/>
                <w:color w:val="000000"/>
                <w:sz w:val="12"/>
                <w:szCs w:val="12"/>
                <w:lang w:val="es-ES" w:eastAsia="es-MX"/>
              </w:rPr>
            </w:pPr>
            <w:r w:rsidRPr="00EF51CC">
              <w:rPr>
                <w:rFonts w:ascii="Myriad Pro" w:eastAsia="Times New Roman" w:hAnsi="Myriad Pro" w:cs="Calibri"/>
                <w:color w:val="000000"/>
                <w:sz w:val="12"/>
                <w:szCs w:val="12"/>
                <w:lang w:val="es-ES" w:eastAsia="es-MX"/>
              </w:rPr>
              <w:t xml:space="preserve">1,266 </w:t>
            </w:r>
          </w:p>
        </w:tc>
      </w:tr>
      <w:tr w:rsidR="00933B38" w:rsidRPr="00EF51CC" w14:paraId="4D527C5B" w14:textId="77777777" w:rsidTr="002034DC">
        <w:trPr>
          <w:trHeight w:val="128"/>
        </w:trPr>
        <w:tc>
          <w:tcPr>
            <w:tcW w:w="4014" w:type="pct"/>
            <w:tcBorders>
              <w:top w:val="nil"/>
              <w:left w:val="single" w:sz="4" w:space="0" w:color="auto"/>
              <w:bottom w:val="single" w:sz="4" w:space="0" w:color="auto"/>
              <w:right w:val="single" w:sz="4" w:space="0" w:color="auto"/>
            </w:tcBorders>
            <w:shd w:val="clear" w:color="auto" w:fill="auto"/>
            <w:vAlign w:val="center"/>
            <w:hideMark/>
          </w:tcPr>
          <w:p w14:paraId="1DD6CDC9" w14:textId="77777777" w:rsidR="00933B38" w:rsidRPr="00EF51CC" w:rsidRDefault="00933B38" w:rsidP="002034DC">
            <w:pPr>
              <w:spacing w:after="80" w:line="240" w:lineRule="auto"/>
              <w:rPr>
                <w:rFonts w:ascii="Myriad Pro" w:eastAsia="Times New Roman" w:hAnsi="Myriad Pro" w:cs="Arial"/>
                <w:color w:val="000000"/>
                <w:sz w:val="12"/>
                <w:szCs w:val="12"/>
                <w:lang w:val="es-ES" w:eastAsia="es-MX"/>
              </w:rPr>
            </w:pPr>
            <w:r w:rsidRPr="00EF51CC">
              <w:rPr>
                <w:rFonts w:ascii="Myriad Pro" w:eastAsia="Times New Roman" w:hAnsi="Myriad Pro" w:cs="Arial"/>
                <w:color w:val="000000"/>
                <w:sz w:val="12"/>
                <w:szCs w:val="12"/>
                <w:lang w:val="es-ES" w:eastAsia="es-MX"/>
              </w:rPr>
              <w:t>Prevención del delito</w:t>
            </w:r>
          </w:p>
        </w:tc>
        <w:tc>
          <w:tcPr>
            <w:tcW w:w="986" w:type="pct"/>
            <w:tcBorders>
              <w:top w:val="nil"/>
              <w:left w:val="nil"/>
              <w:bottom w:val="single" w:sz="4" w:space="0" w:color="auto"/>
              <w:right w:val="single" w:sz="4" w:space="0" w:color="auto"/>
            </w:tcBorders>
            <w:shd w:val="clear" w:color="auto" w:fill="auto"/>
            <w:vAlign w:val="center"/>
            <w:hideMark/>
          </w:tcPr>
          <w:p w14:paraId="54A15BFB" w14:textId="77777777" w:rsidR="00933B38" w:rsidRPr="00EF51CC" w:rsidRDefault="00933B38" w:rsidP="002034DC">
            <w:pPr>
              <w:spacing w:after="80" w:line="240" w:lineRule="auto"/>
              <w:jc w:val="right"/>
              <w:rPr>
                <w:rFonts w:ascii="Myriad Pro" w:eastAsia="Times New Roman" w:hAnsi="Myriad Pro" w:cs="Calibri"/>
                <w:color w:val="000000"/>
                <w:sz w:val="12"/>
                <w:szCs w:val="12"/>
                <w:lang w:val="es-ES" w:eastAsia="es-MX"/>
              </w:rPr>
            </w:pPr>
            <w:r w:rsidRPr="00EF51CC">
              <w:rPr>
                <w:rFonts w:ascii="Myriad Pro" w:eastAsia="Times New Roman" w:hAnsi="Myriad Pro" w:cs="Calibri"/>
                <w:color w:val="000000"/>
                <w:sz w:val="12"/>
                <w:szCs w:val="12"/>
                <w:lang w:val="es-ES" w:eastAsia="es-MX"/>
              </w:rPr>
              <w:t xml:space="preserve">1,334 </w:t>
            </w:r>
          </w:p>
        </w:tc>
      </w:tr>
      <w:tr w:rsidR="00933B38" w:rsidRPr="00EF51CC" w14:paraId="66FC1F8F" w14:textId="77777777" w:rsidTr="002034DC">
        <w:trPr>
          <w:trHeight w:val="102"/>
        </w:trPr>
        <w:tc>
          <w:tcPr>
            <w:tcW w:w="4014" w:type="pct"/>
            <w:tcBorders>
              <w:top w:val="nil"/>
              <w:left w:val="single" w:sz="4" w:space="0" w:color="auto"/>
              <w:bottom w:val="single" w:sz="4" w:space="0" w:color="auto"/>
              <w:right w:val="single" w:sz="4" w:space="0" w:color="auto"/>
            </w:tcBorders>
            <w:shd w:val="clear" w:color="auto" w:fill="auto"/>
            <w:vAlign w:val="center"/>
            <w:hideMark/>
          </w:tcPr>
          <w:p w14:paraId="70799688" w14:textId="77777777" w:rsidR="00933B38" w:rsidRPr="00EF51CC" w:rsidRDefault="00933B38" w:rsidP="002034DC">
            <w:pPr>
              <w:spacing w:after="80" w:line="240" w:lineRule="auto"/>
              <w:rPr>
                <w:rFonts w:ascii="Myriad Pro" w:eastAsia="Times New Roman" w:hAnsi="Myriad Pro" w:cs="Arial"/>
                <w:color w:val="000000"/>
                <w:sz w:val="12"/>
                <w:szCs w:val="12"/>
                <w:lang w:val="es-ES" w:eastAsia="es-MX"/>
              </w:rPr>
            </w:pPr>
            <w:r w:rsidRPr="00EF51CC">
              <w:rPr>
                <w:rFonts w:ascii="Myriad Pro" w:eastAsia="Times New Roman" w:hAnsi="Myriad Pro" w:cs="Arial"/>
                <w:color w:val="000000"/>
                <w:sz w:val="12"/>
                <w:szCs w:val="12"/>
                <w:lang w:val="es-ES" w:eastAsia="es-MX"/>
              </w:rPr>
              <w:t>Desarrollo económico, inversión y empleo digno</w:t>
            </w:r>
          </w:p>
        </w:tc>
        <w:tc>
          <w:tcPr>
            <w:tcW w:w="986" w:type="pct"/>
            <w:tcBorders>
              <w:top w:val="nil"/>
              <w:left w:val="nil"/>
              <w:bottom w:val="single" w:sz="4" w:space="0" w:color="auto"/>
              <w:right w:val="single" w:sz="4" w:space="0" w:color="auto"/>
            </w:tcBorders>
            <w:shd w:val="clear" w:color="auto" w:fill="auto"/>
            <w:vAlign w:val="center"/>
            <w:hideMark/>
          </w:tcPr>
          <w:p w14:paraId="0390D9B1" w14:textId="77777777" w:rsidR="00933B38" w:rsidRPr="00EF51CC" w:rsidRDefault="00933B38" w:rsidP="002034DC">
            <w:pPr>
              <w:spacing w:after="80" w:line="240" w:lineRule="auto"/>
              <w:jc w:val="right"/>
              <w:rPr>
                <w:rFonts w:ascii="Myriad Pro" w:eastAsia="Times New Roman" w:hAnsi="Myriad Pro" w:cs="Calibri"/>
                <w:color w:val="000000"/>
                <w:sz w:val="12"/>
                <w:szCs w:val="12"/>
                <w:lang w:val="es-ES" w:eastAsia="es-MX"/>
              </w:rPr>
            </w:pPr>
            <w:r w:rsidRPr="00EF51CC">
              <w:rPr>
                <w:rFonts w:ascii="Myriad Pro" w:eastAsia="Times New Roman" w:hAnsi="Myriad Pro" w:cs="Calibri"/>
                <w:color w:val="000000"/>
                <w:sz w:val="12"/>
                <w:szCs w:val="12"/>
                <w:lang w:val="es-ES" w:eastAsia="es-MX"/>
              </w:rPr>
              <w:t xml:space="preserve">2,191 </w:t>
            </w:r>
          </w:p>
        </w:tc>
      </w:tr>
      <w:tr w:rsidR="00933B38" w:rsidRPr="00EF51CC" w14:paraId="29702AFC" w14:textId="77777777" w:rsidTr="002034DC">
        <w:trPr>
          <w:trHeight w:val="245"/>
        </w:trPr>
        <w:tc>
          <w:tcPr>
            <w:tcW w:w="4014" w:type="pct"/>
            <w:tcBorders>
              <w:top w:val="nil"/>
              <w:left w:val="single" w:sz="4" w:space="0" w:color="auto"/>
              <w:bottom w:val="single" w:sz="4" w:space="0" w:color="auto"/>
              <w:right w:val="single" w:sz="4" w:space="0" w:color="auto"/>
            </w:tcBorders>
            <w:shd w:val="clear" w:color="auto" w:fill="auto"/>
            <w:vAlign w:val="center"/>
            <w:hideMark/>
          </w:tcPr>
          <w:p w14:paraId="71539CFE" w14:textId="77777777" w:rsidR="00933B38" w:rsidRPr="00EF51CC" w:rsidRDefault="00933B38" w:rsidP="002034DC">
            <w:pPr>
              <w:spacing w:after="80" w:line="240" w:lineRule="auto"/>
              <w:rPr>
                <w:rFonts w:ascii="Myriad Pro" w:eastAsia="Times New Roman" w:hAnsi="Myriad Pro" w:cs="Arial"/>
                <w:color w:val="000000"/>
                <w:sz w:val="12"/>
                <w:szCs w:val="12"/>
                <w:lang w:val="es-ES" w:eastAsia="es-MX"/>
              </w:rPr>
            </w:pPr>
            <w:r w:rsidRPr="00EF51CC">
              <w:rPr>
                <w:rFonts w:ascii="Myriad Pro" w:eastAsia="Times New Roman" w:hAnsi="Myriad Pro" w:cs="Arial"/>
                <w:color w:val="000000"/>
                <w:sz w:val="12"/>
                <w:szCs w:val="12"/>
                <w:lang w:val="es-ES" w:eastAsia="es-MX"/>
              </w:rPr>
              <w:t>Cubrir las necesidades básicas y promover la inclusión y acceso de los más necesitados</w:t>
            </w:r>
          </w:p>
        </w:tc>
        <w:tc>
          <w:tcPr>
            <w:tcW w:w="986" w:type="pct"/>
            <w:tcBorders>
              <w:top w:val="nil"/>
              <w:left w:val="nil"/>
              <w:bottom w:val="single" w:sz="4" w:space="0" w:color="auto"/>
              <w:right w:val="single" w:sz="4" w:space="0" w:color="auto"/>
            </w:tcBorders>
            <w:shd w:val="clear" w:color="auto" w:fill="auto"/>
            <w:vAlign w:val="center"/>
            <w:hideMark/>
          </w:tcPr>
          <w:p w14:paraId="2FBAB9A1" w14:textId="77777777" w:rsidR="00933B38" w:rsidRPr="00EF51CC" w:rsidRDefault="00933B38" w:rsidP="002034DC">
            <w:pPr>
              <w:spacing w:after="80" w:line="240" w:lineRule="auto"/>
              <w:jc w:val="right"/>
              <w:rPr>
                <w:rFonts w:ascii="Myriad Pro" w:eastAsia="Times New Roman" w:hAnsi="Myriad Pro" w:cs="Calibri"/>
                <w:color w:val="000000"/>
                <w:sz w:val="12"/>
                <w:szCs w:val="12"/>
                <w:lang w:val="es-ES" w:eastAsia="es-MX"/>
              </w:rPr>
            </w:pPr>
            <w:r w:rsidRPr="00EF51CC">
              <w:rPr>
                <w:rFonts w:ascii="Myriad Pro" w:eastAsia="Times New Roman" w:hAnsi="Myriad Pro" w:cs="Calibri"/>
                <w:color w:val="000000"/>
                <w:sz w:val="12"/>
                <w:szCs w:val="12"/>
                <w:lang w:val="es-ES" w:eastAsia="es-MX"/>
              </w:rPr>
              <w:t xml:space="preserve">1,621 </w:t>
            </w:r>
          </w:p>
        </w:tc>
      </w:tr>
      <w:tr w:rsidR="00933B38" w:rsidRPr="00EF51CC" w14:paraId="7D499C7A" w14:textId="77777777" w:rsidTr="002034DC">
        <w:trPr>
          <w:trHeight w:val="222"/>
        </w:trPr>
        <w:tc>
          <w:tcPr>
            <w:tcW w:w="4014" w:type="pct"/>
            <w:tcBorders>
              <w:top w:val="nil"/>
              <w:left w:val="single" w:sz="4" w:space="0" w:color="auto"/>
              <w:bottom w:val="single" w:sz="4" w:space="0" w:color="auto"/>
              <w:right w:val="single" w:sz="4" w:space="0" w:color="auto"/>
            </w:tcBorders>
            <w:shd w:val="clear" w:color="auto" w:fill="auto"/>
            <w:vAlign w:val="center"/>
            <w:hideMark/>
          </w:tcPr>
          <w:p w14:paraId="4F2DC2B0" w14:textId="77777777" w:rsidR="00933B38" w:rsidRPr="00EF51CC" w:rsidRDefault="00933B38" w:rsidP="002034DC">
            <w:pPr>
              <w:spacing w:after="80" w:line="240" w:lineRule="auto"/>
              <w:rPr>
                <w:rFonts w:ascii="Myriad Pro" w:eastAsia="Times New Roman" w:hAnsi="Myriad Pro" w:cs="Arial"/>
                <w:color w:val="000000"/>
                <w:sz w:val="12"/>
                <w:szCs w:val="12"/>
                <w:lang w:val="es-ES" w:eastAsia="es-MX"/>
              </w:rPr>
            </w:pPr>
            <w:r w:rsidRPr="00EF51CC">
              <w:rPr>
                <w:rFonts w:ascii="Myriad Pro" w:eastAsia="Times New Roman" w:hAnsi="Myriad Pro" w:cs="Arial"/>
                <w:color w:val="000000"/>
                <w:sz w:val="12"/>
                <w:szCs w:val="12"/>
                <w:lang w:val="es-ES" w:eastAsia="es-MX"/>
              </w:rPr>
              <w:t>Innovación, productividad y competitividad</w:t>
            </w:r>
          </w:p>
        </w:tc>
        <w:tc>
          <w:tcPr>
            <w:tcW w:w="986" w:type="pct"/>
            <w:tcBorders>
              <w:top w:val="nil"/>
              <w:left w:val="nil"/>
              <w:bottom w:val="single" w:sz="4" w:space="0" w:color="auto"/>
              <w:right w:val="single" w:sz="4" w:space="0" w:color="auto"/>
            </w:tcBorders>
            <w:shd w:val="clear" w:color="auto" w:fill="auto"/>
            <w:vAlign w:val="center"/>
            <w:hideMark/>
          </w:tcPr>
          <w:p w14:paraId="2992BC2C" w14:textId="77777777" w:rsidR="00933B38" w:rsidRPr="00EF51CC" w:rsidRDefault="00933B38" w:rsidP="002034DC">
            <w:pPr>
              <w:spacing w:after="80" w:line="240" w:lineRule="auto"/>
              <w:jc w:val="right"/>
              <w:rPr>
                <w:rFonts w:ascii="Myriad Pro" w:eastAsia="Times New Roman" w:hAnsi="Myriad Pro" w:cs="Calibri"/>
                <w:color w:val="000000"/>
                <w:sz w:val="12"/>
                <w:szCs w:val="12"/>
                <w:lang w:val="es-ES" w:eastAsia="es-MX"/>
              </w:rPr>
            </w:pPr>
            <w:r w:rsidRPr="00EF51CC">
              <w:rPr>
                <w:rFonts w:ascii="Myriad Pro" w:eastAsia="Times New Roman" w:hAnsi="Myriad Pro" w:cs="Calibri"/>
                <w:color w:val="000000"/>
                <w:sz w:val="12"/>
                <w:szCs w:val="12"/>
                <w:lang w:val="es-ES" w:eastAsia="es-MX"/>
              </w:rPr>
              <w:t xml:space="preserve">1,265 </w:t>
            </w:r>
          </w:p>
        </w:tc>
      </w:tr>
      <w:tr w:rsidR="00933B38" w:rsidRPr="00EF51CC" w14:paraId="022F3E5D" w14:textId="77777777" w:rsidTr="002034DC">
        <w:trPr>
          <w:trHeight w:val="139"/>
        </w:trPr>
        <w:tc>
          <w:tcPr>
            <w:tcW w:w="4014" w:type="pct"/>
            <w:tcBorders>
              <w:top w:val="nil"/>
              <w:left w:val="single" w:sz="4" w:space="0" w:color="auto"/>
              <w:bottom w:val="single" w:sz="4" w:space="0" w:color="auto"/>
              <w:right w:val="single" w:sz="4" w:space="0" w:color="auto"/>
            </w:tcBorders>
            <w:shd w:val="clear" w:color="auto" w:fill="auto"/>
            <w:vAlign w:val="center"/>
            <w:hideMark/>
          </w:tcPr>
          <w:p w14:paraId="0C04F2E1" w14:textId="77777777" w:rsidR="00933B38" w:rsidRPr="00EF51CC" w:rsidRDefault="00933B38" w:rsidP="002034DC">
            <w:pPr>
              <w:spacing w:after="80" w:line="240" w:lineRule="auto"/>
              <w:rPr>
                <w:rFonts w:ascii="Myriad Pro" w:eastAsia="Times New Roman" w:hAnsi="Myriad Pro" w:cs="Arial"/>
                <w:color w:val="000000"/>
                <w:sz w:val="12"/>
                <w:szCs w:val="12"/>
                <w:lang w:val="es-ES" w:eastAsia="es-MX"/>
              </w:rPr>
            </w:pPr>
            <w:r w:rsidRPr="00EF51CC">
              <w:rPr>
                <w:rFonts w:ascii="Myriad Pro" w:eastAsia="Times New Roman" w:hAnsi="Myriad Pro" w:cs="Arial"/>
                <w:color w:val="000000"/>
                <w:sz w:val="12"/>
                <w:szCs w:val="12"/>
                <w:lang w:val="es-ES" w:eastAsia="es-MX"/>
              </w:rPr>
              <w:t>Sustentabilidad ambiental, resiliencia y prosperidad urbana</w:t>
            </w:r>
          </w:p>
        </w:tc>
        <w:tc>
          <w:tcPr>
            <w:tcW w:w="986" w:type="pct"/>
            <w:tcBorders>
              <w:top w:val="nil"/>
              <w:left w:val="nil"/>
              <w:bottom w:val="single" w:sz="4" w:space="0" w:color="auto"/>
              <w:right w:val="single" w:sz="4" w:space="0" w:color="auto"/>
            </w:tcBorders>
            <w:shd w:val="clear" w:color="auto" w:fill="auto"/>
            <w:vAlign w:val="center"/>
            <w:hideMark/>
          </w:tcPr>
          <w:p w14:paraId="34E64D46" w14:textId="77777777" w:rsidR="00933B38" w:rsidRPr="00EF51CC" w:rsidRDefault="00933B38" w:rsidP="002034DC">
            <w:pPr>
              <w:spacing w:after="80" w:line="240" w:lineRule="auto"/>
              <w:jc w:val="right"/>
              <w:rPr>
                <w:rFonts w:ascii="Myriad Pro" w:eastAsia="Times New Roman" w:hAnsi="Myriad Pro" w:cs="Calibri"/>
                <w:color w:val="000000"/>
                <w:sz w:val="12"/>
                <w:szCs w:val="12"/>
                <w:lang w:val="es-ES" w:eastAsia="es-MX"/>
              </w:rPr>
            </w:pPr>
            <w:r w:rsidRPr="00EF51CC">
              <w:rPr>
                <w:rFonts w:ascii="Myriad Pro" w:eastAsia="Times New Roman" w:hAnsi="Myriad Pro" w:cs="Calibri"/>
                <w:color w:val="000000"/>
                <w:sz w:val="12"/>
                <w:szCs w:val="12"/>
                <w:lang w:val="es-ES" w:eastAsia="es-MX"/>
              </w:rPr>
              <w:t xml:space="preserve">1,477 </w:t>
            </w:r>
          </w:p>
        </w:tc>
      </w:tr>
      <w:tr w:rsidR="00933B38" w:rsidRPr="00EF51CC" w14:paraId="286FEB7E" w14:textId="77777777" w:rsidTr="002034DC">
        <w:trPr>
          <w:trHeight w:val="114"/>
        </w:trPr>
        <w:tc>
          <w:tcPr>
            <w:tcW w:w="4014" w:type="pct"/>
            <w:tcBorders>
              <w:top w:val="nil"/>
              <w:left w:val="single" w:sz="4" w:space="0" w:color="auto"/>
              <w:bottom w:val="single" w:sz="4" w:space="0" w:color="auto"/>
              <w:right w:val="single" w:sz="4" w:space="0" w:color="auto"/>
            </w:tcBorders>
            <w:shd w:val="clear" w:color="auto" w:fill="auto"/>
            <w:vAlign w:val="center"/>
            <w:hideMark/>
          </w:tcPr>
          <w:p w14:paraId="697837A5" w14:textId="77777777" w:rsidR="00933B38" w:rsidRPr="00EF51CC" w:rsidRDefault="00933B38" w:rsidP="002034DC">
            <w:pPr>
              <w:spacing w:after="80" w:line="240" w:lineRule="auto"/>
              <w:rPr>
                <w:rFonts w:ascii="Myriad Pro" w:eastAsia="Times New Roman" w:hAnsi="Myriad Pro" w:cs="Arial"/>
                <w:color w:val="000000"/>
                <w:sz w:val="12"/>
                <w:szCs w:val="12"/>
                <w:lang w:val="es-ES" w:eastAsia="es-MX"/>
              </w:rPr>
            </w:pPr>
            <w:r w:rsidRPr="00EF51CC">
              <w:rPr>
                <w:rFonts w:ascii="Myriad Pro" w:eastAsia="Times New Roman" w:hAnsi="Myriad Pro" w:cs="Arial"/>
                <w:color w:val="000000"/>
                <w:sz w:val="12"/>
                <w:szCs w:val="12"/>
                <w:lang w:val="es-ES" w:eastAsia="es-MX"/>
              </w:rPr>
              <w:t>Cohesión social e igualdad sustantiva</w:t>
            </w:r>
          </w:p>
        </w:tc>
        <w:tc>
          <w:tcPr>
            <w:tcW w:w="986" w:type="pct"/>
            <w:tcBorders>
              <w:top w:val="nil"/>
              <w:left w:val="nil"/>
              <w:bottom w:val="single" w:sz="4" w:space="0" w:color="auto"/>
              <w:right w:val="single" w:sz="4" w:space="0" w:color="auto"/>
            </w:tcBorders>
            <w:shd w:val="clear" w:color="auto" w:fill="auto"/>
            <w:vAlign w:val="center"/>
            <w:hideMark/>
          </w:tcPr>
          <w:p w14:paraId="43FBA82F" w14:textId="77777777" w:rsidR="00933B38" w:rsidRPr="00EF51CC" w:rsidRDefault="00933B38" w:rsidP="002034DC">
            <w:pPr>
              <w:spacing w:after="80" w:line="240" w:lineRule="auto"/>
              <w:jc w:val="right"/>
              <w:rPr>
                <w:rFonts w:ascii="Myriad Pro" w:eastAsia="Times New Roman" w:hAnsi="Myriad Pro" w:cs="Calibri"/>
                <w:color w:val="000000"/>
                <w:sz w:val="12"/>
                <w:szCs w:val="12"/>
                <w:lang w:val="es-ES" w:eastAsia="es-MX"/>
              </w:rPr>
            </w:pPr>
            <w:r w:rsidRPr="00EF51CC">
              <w:rPr>
                <w:rFonts w:ascii="Myriad Pro" w:eastAsia="Times New Roman" w:hAnsi="Myriad Pro" w:cs="Calibri"/>
                <w:color w:val="000000"/>
                <w:sz w:val="12"/>
                <w:szCs w:val="12"/>
                <w:lang w:val="es-ES" w:eastAsia="es-MX"/>
              </w:rPr>
              <w:t xml:space="preserve">1,001 </w:t>
            </w:r>
          </w:p>
        </w:tc>
      </w:tr>
      <w:tr w:rsidR="00933B38" w:rsidRPr="00EF51CC" w14:paraId="0FA7B852" w14:textId="77777777" w:rsidTr="002034DC">
        <w:trPr>
          <w:trHeight w:val="60"/>
        </w:trPr>
        <w:tc>
          <w:tcPr>
            <w:tcW w:w="4014" w:type="pct"/>
            <w:tcBorders>
              <w:top w:val="nil"/>
              <w:left w:val="single" w:sz="4" w:space="0" w:color="auto"/>
              <w:bottom w:val="single" w:sz="4" w:space="0" w:color="auto"/>
              <w:right w:val="single" w:sz="4" w:space="0" w:color="auto"/>
            </w:tcBorders>
            <w:shd w:val="clear" w:color="auto" w:fill="auto"/>
            <w:vAlign w:val="center"/>
            <w:hideMark/>
          </w:tcPr>
          <w:p w14:paraId="68AA0122" w14:textId="77777777" w:rsidR="00933B38" w:rsidRPr="00EF51CC" w:rsidRDefault="00933B38" w:rsidP="002034DC">
            <w:pPr>
              <w:spacing w:after="80" w:line="240" w:lineRule="auto"/>
              <w:rPr>
                <w:rFonts w:ascii="Myriad Pro" w:eastAsia="Times New Roman" w:hAnsi="Myriad Pro" w:cs="Arial"/>
                <w:color w:val="000000"/>
                <w:sz w:val="12"/>
                <w:szCs w:val="12"/>
                <w:lang w:val="es-ES" w:eastAsia="es-MX"/>
              </w:rPr>
            </w:pPr>
            <w:r w:rsidRPr="00EF51CC">
              <w:rPr>
                <w:rFonts w:ascii="Myriad Pro" w:eastAsia="Times New Roman" w:hAnsi="Myriad Pro" w:cs="Arial"/>
                <w:color w:val="000000"/>
                <w:sz w:val="12"/>
                <w:szCs w:val="12"/>
                <w:lang w:val="es-ES" w:eastAsia="es-MX"/>
              </w:rPr>
              <w:t>Rendición de cuentas, transparencia y gobierno digital</w:t>
            </w:r>
          </w:p>
        </w:tc>
        <w:tc>
          <w:tcPr>
            <w:tcW w:w="986" w:type="pct"/>
            <w:tcBorders>
              <w:top w:val="nil"/>
              <w:left w:val="nil"/>
              <w:bottom w:val="single" w:sz="4" w:space="0" w:color="auto"/>
              <w:right w:val="single" w:sz="4" w:space="0" w:color="auto"/>
            </w:tcBorders>
            <w:shd w:val="clear" w:color="auto" w:fill="auto"/>
            <w:vAlign w:val="center"/>
            <w:hideMark/>
          </w:tcPr>
          <w:p w14:paraId="5CFA76AD" w14:textId="77777777" w:rsidR="00933B38" w:rsidRPr="00EF51CC" w:rsidRDefault="00933B38" w:rsidP="002034DC">
            <w:pPr>
              <w:spacing w:after="80" w:line="240" w:lineRule="auto"/>
              <w:jc w:val="right"/>
              <w:rPr>
                <w:rFonts w:ascii="Myriad Pro" w:eastAsia="Times New Roman" w:hAnsi="Myriad Pro" w:cs="Calibri"/>
                <w:color w:val="000000"/>
                <w:sz w:val="12"/>
                <w:szCs w:val="12"/>
                <w:lang w:val="es-ES" w:eastAsia="es-MX"/>
              </w:rPr>
            </w:pPr>
            <w:r w:rsidRPr="00EF51CC">
              <w:rPr>
                <w:rFonts w:ascii="Myriad Pro" w:eastAsia="Times New Roman" w:hAnsi="Myriad Pro" w:cs="Calibri"/>
                <w:color w:val="000000"/>
                <w:sz w:val="12"/>
                <w:szCs w:val="12"/>
                <w:lang w:val="es-ES" w:eastAsia="es-MX"/>
              </w:rPr>
              <w:t xml:space="preserve">1,090 </w:t>
            </w:r>
          </w:p>
        </w:tc>
      </w:tr>
      <w:tr w:rsidR="00933B38" w:rsidRPr="00EF51CC" w14:paraId="7A470829" w14:textId="77777777" w:rsidTr="002034DC">
        <w:trPr>
          <w:trHeight w:val="60"/>
        </w:trPr>
        <w:tc>
          <w:tcPr>
            <w:tcW w:w="4014" w:type="pct"/>
            <w:tcBorders>
              <w:top w:val="nil"/>
              <w:left w:val="single" w:sz="4" w:space="0" w:color="auto"/>
              <w:bottom w:val="single" w:sz="4" w:space="0" w:color="auto"/>
              <w:right w:val="single" w:sz="4" w:space="0" w:color="auto"/>
            </w:tcBorders>
            <w:shd w:val="clear" w:color="auto" w:fill="auto"/>
            <w:vAlign w:val="center"/>
            <w:hideMark/>
          </w:tcPr>
          <w:p w14:paraId="3056E3BA" w14:textId="77777777" w:rsidR="00933B38" w:rsidRPr="00EF51CC" w:rsidRDefault="00933B38" w:rsidP="002034DC">
            <w:pPr>
              <w:spacing w:after="80" w:line="240" w:lineRule="auto"/>
              <w:rPr>
                <w:rFonts w:ascii="Myriad Pro" w:eastAsia="Times New Roman" w:hAnsi="Myriad Pro" w:cs="Arial"/>
                <w:color w:val="000000"/>
                <w:sz w:val="12"/>
                <w:szCs w:val="12"/>
                <w:lang w:val="es-ES" w:eastAsia="es-MX"/>
              </w:rPr>
            </w:pPr>
            <w:r w:rsidRPr="00EF51CC">
              <w:rPr>
                <w:rFonts w:ascii="Myriad Pro" w:eastAsia="Times New Roman" w:hAnsi="Myriad Pro" w:cs="Arial"/>
                <w:color w:val="000000"/>
                <w:sz w:val="12"/>
                <w:szCs w:val="12"/>
                <w:lang w:val="es-ES" w:eastAsia="es-MX"/>
              </w:rPr>
              <w:t>Otro</w:t>
            </w:r>
          </w:p>
        </w:tc>
        <w:tc>
          <w:tcPr>
            <w:tcW w:w="986" w:type="pct"/>
            <w:tcBorders>
              <w:top w:val="nil"/>
              <w:left w:val="nil"/>
              <w:bottom w:val="single" w:sz="4" w:space="0" w:color="auto"/>
              <w:right w:val="single" w:sz="4" w:space="0" w:color="auto"/>
            </w:tcBorders>
            <w:shd w:val="clear" w:color="auto" w:fill="auto"/>
            <w:vAlign w:val="center"/>
            <w:hideMark/>
          </w:tcPr>
          <w:p w14:paraId="106B2A6B" w14:textId="77777777" w:rsidR="00933B38" w:rsidRPr="00EF51CC" w:rsidRDefault="00933B38" w:rsidP="002034DC">
            <w:pPr>
              <w:spacing w:after="80" w:line="240" w:lineRule="auto"/>
              <w:jc w:val="right"/>
              <w:rPr>
                <w:rFonts w:ascii="Myriad Pro" w:eastAsia="Times New Roman" w:hAnsi="Myriad Pro" w:cs="Calibri"/>
                <w:color w:val="000000"/>
                <w:sz w:val="12"/>
                <w:szCs w:val="12"/>
                <w:lang w:val="es-ES" w:eastAsia="es-MX"/>
              </w:rPr>
            </w:pPr>
            <w:r w:rsidRPr="00EF51CC">
              <w:rPr>
                <w:rFonts w:ascii="Myriad Pro" w:eastAsia="Times New Roman" w:hAnsi="Myriad Pro" w:cs="Calibri"/>
                <w:color w:val="000000"/>
                <w:sz w:val="12"/>
                <w:szCs w:val="12"/>
                <w:lang w:val="es-ES" w:eastAsia="es-MX"/>
              </w:rPr>
              <w:t xml:space="preserve">658 </w:t>
            </w:r>
          </w:p>
        </w:tc>
      </w:tr>
      <w:tr w:rsidR="00933B38" w:rsidRPr="00EF51CC" w14:paraId="2FB0A5C6" w14:textId="77777777" w:rsidTr="002034DC">
        <w:trPr>
          <w:trHeight w:val="78"/>
        </w:trPr>
        <w:tc>
          <w:tcPr>
            <w:tcW w:w="4014" w:type="pct"/>
            <w:tcBorders>
              <w:top w:val="nil"/>
              <w:left w:val="single" w:sz="4" w:space="0" w:color="auto"/>
              <w:bottom w:val="single" w:sz="4" w:space="0" w:color="auto"/>
              <w:right w:val="single" w:sz="4" w:space="0" w:color="auto"/>
            </w:tcBorders>
            <w:shd w:val="clear" w:color="auto" w:fill="F2F2F2" w:themeFill="background1" w:themeFillShade="F2"/>
            <w:vAlign w:val="center"/>
          </w:tcPr>
          <w:p w14:paraId="1210FD11" w14:textId="77777777" w:rsidR="00933B38" w:rsidRPr="00EF51CC" w:rsidRDefault="00933B38" w:rsidP="002034DC">
            <w:pPr>
              <w:spacing w:after="80" w:line="240" w:lineRule="auto"/>
              <w:jc w:val="right"/>
              <w:rPr>
                <w:rFonts w:ascii="Myriad Pro" w:eastAsia="Times New Roman" w:hAnsi="Myriad Pro" w:cs="Calibri"/>
                <w:color w:val="000000"/>
                <w:sz w:val="12"/>
                <w:szCs w:val="12"/>
                <w:lang w:val="es-ES" w:eastAsia="es-MX"/>
              </w:rPr>
            </w:pPr>
            <w:r w:rsidRPr="00EF51CC">
              <w:rPr>
                <w:rFonts w:ascii="Myriad Pro" w:eastAsia="Times New Roman" w:hAnsi="Myriad Pro" w:cs="Calibri"/>
                <w:color w:val="000000"/>
                <w:sz w:val="12"/>
                <w:szCs w:val="12"/>
                <w:lang w:val="es-ES" w:eastAsia="es-MX"/>
              </w:rPr>
              <w:t>T O T A L</w:t>
            </w:r>
          </w:p>
        </w:tc>
        <w:tc>
          <w:tcPr>
            <w:tcW w:w="986" w:type="pct"/>
            <w:tcBorders>
              <w:top w:val="nil"/>
              <w:left w:val="nil"/>
              <w:bottom w:val="single" w:sz="4" w:space="0" w:color="auto"/>
              <w:right w:val="single" w:sz="4" w:space="0" w:color="auto"/>
            </w:tcBorders>
            <w:shd w:val="clear" w:color="auto" w:fill="F2F2F2" w:themeFill="background1" w:themeFillShade="F2"/>
            <w:vAlign w:val="center"/>
          </w:tcPr>
          <w:p w14:paraId="30C92581" w14:textId="77777777" w:rsidR="00933B38" w:rsidRPr="00EF51CC" w:rsidRDefault="00933B38" w:rsidP="002034DC">
            <w:pPr>
              <w:spacing w:after="80" w:line="240" w:lineRule="auto"/>
              <w:jc w:val="right"/>
              <w:rPr>
                <w:rFonts w:ascii="Myriad Pro" w:eastAsia="Times New Roman" w:hAnsi="Myriad Pro" w:cs="Calibri"/>
                <w:color w:val="000000"/>
                <w:sz w:val="12"/>
                <w:szCs w:val="12"/>
                <w:lang w:val="es-ES" w:eastAsia="es-MX"/>
              </w:rPr>
            </w:pPr>
            <w:r w:rsidRPr="00EF51CC">
              <w:rPr>
                <w:rFonts w:ascii="Myriad Pro" w:eastAsia="Times New Roman" w:hAnsi="Myriad Pro" w:cs="Calibri"/>
                <w:b/>
                <w:bCs/>
                <w:color w:val="000000"/>
                <w:sz w:val="12"/>
                <w:szCs w:val="12"/>
                <w:lang w:val="es-ES" w:eastAsia="es-MX"/>
              </w:rPr>
              <w:t>13,530</w:t>
            </w:r>
          </w:p>
        </w:tc>
      </w:tr>
    </w:tbl>
    <w:p w14:paraId="26D46397" w14:textId="77777777" w:rsidR="00933B38" w:rsidRDefault="00933B38" w:rsidP="00776204">
      <w:pPr>
        <w:spacing w:after="0" w:line="240" w:lineRule="auto"/>
        <w:jc w:val="center"/>
        <w:rPr>
          <w:rFonts w:ascii="GalanoGrotesque-Regular" w:hAnsi="GalanoGrotesque-Regular" w:cs="Arial"/>
          <w:sz w:val="14"/>
          <w:szCs w:val="20"/>
        </w:rPr>
      </w:pPr>
    </w:p>
    <w:p w14:paraId="3CFD5659" w14:textId="77777777" w:rsidR="00482384" w:rsidRPr="00776204" w:rsidRDefault="00482384" w:rsidP="001A1FC2">
      <w:pPr>
        <w:spacing w:after="0" w:line="180" w:lineRule="exact"/>
        <w:rPr>
          <w:rFonts w:ascii="GalanoGrotesque-Regular" w:eastAsia="Times New Roman" w:hAnsi="GalanoGrotesque-Regular" w:cs="Arial"/>
          <w:sz w:val="12"/>
          <w:szCs w:val="16"/>
          <w:lang w:val="es-ES" w:eastAsia="es-ES"/>
        </w:rPr>
      </w:pPr>
      <w:r w:rsidRPr="00933B38">
        <w:rPr>
          <w:rFonts w:ascii="GalanoGrotesque-Regular" w:hAnsi="GalanoGrotesque-Regular" w:cs="Arial"/>
          <w:sz w:val="14"/>
          <w:szCs w:val="20"/>
        </w:rPr>
        <w:t>Fuente: Elaboración propia, Coordinación General de Gabinete y Planeación del Gobierno de Michoacán.</w:t>
      </w:r>
    </w:p>
    <w:p w14:paraId="5DE65A8A" w14:textId="77777777" w:rsidR="00E46DD9" w:rsidRPr="00E46DD9" w:rsidRDefault="00E46DD9" w:rsidP="00E46DD9">
      <w:pPr>
        <w:spacing w:after="0"/>
        <w:jc w:val="both"/>
        <w:rPr>
          <w:rFonts w:ascii="GalanoGrotesque-Light" w:eastAsia="Times New Roman" w:hAnsi="GalanoGrotesque-Light" w:cs="Arial"/>
          <w:b/>
          <w:sz w:val="20"/>
          <w:szCs w:val="20"/>
          <w:lang w:val="es-ES" w:eastAsia="es-ES"/>
        </w:rPr>
      </w:pPr>
    </w:p>
    <w:p w14:paraId="692C418A" w14:textId="77777777" w:rsidR="00482384" w:rsidRPr="00A00313" w:rsidRDefault="00482384" w:rsidP="001A1FC2">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De manera paralela se realizaron nueve talleres de planeación, uno por cada prioridad transversal. En estos participaron los titulares de la administración pública estatal, junto con los moderadores de los diez foros regionales como portavoces de la ciudadanía, quienes generaron de manera conjunta y participativa el análisis de la situación actual, una propuesta de la situación deseada y un conjunto de líneas estratégicas y sus acciones prioritarias que fueron incorporadas en el PLADIEM. Dichos talleres se llevaron a cabo apoyados en el modelo de trabajo que se muestra en la Figura 5.</w:t>
      </w:r>
    </w:p>
    <w:p w14:paraId="61DB2A11" w14:textId="77777777" w:rsidR="00482384" w:rsidRPr="00482384" w:rsidRDefault="00482384" w:rsidP="001A1FC2">
      <w:pPr>
        <w:spacing w:after="0" w:line="180" w:lineRule="exact"/>
        <w:jc w:val="center"/>
        <w:rPr>
          <w:rFonts w:ascii="GalanoGrotesque-Medium" w:eastAsia="Times New Roman" w:hAnsi="GalanoGrotesque-Medium" w:cs="Arial"/>
          <w:b/>
          <w:sz w:val="24"/>
          <w:szCs w:val="24"/>
          <w:lang w:val="es-ES" w:eastAsia="es-ES"/>
        </w:rPr>
      </w:pPr>
      <w:r w:rsidRPr="00776204">
        <w:rPr>
          <w:rFonts w:ascii="GalanoGrotesque-Medium" w:eastAsia="Times New Roman" w:hAnsi="GalanoGrotesque-Medium" w:cs="Arial"/>
          <w:b/>
          <w:sz w:val="16"/>
          <w:szCs w:val="24"/>
          <w:lang w:val="es-ES" w:eastAsia="es-ES"/>
        </w:rPr>
        <w:t>Figura 5</w:t>
      </w:r>
    </w:p>
    <w:p w14:paraId="2FE9AD56" w14:textId="77777777" w:rsidR="00482384" w:rsidRPr="00776204" w:rsidRDefault="00482384" w:rsidP="001A1FC2">
      <w:pPr>
        <w:spacing w:after="0" w:line="180" w:lineRule="exact"/>
        <w:ind w:right="59"/>
        <w:jc w:val="center"/>
        <w:rPr>
          <w:rFonts w:ascii="GalanoGrotesque-Medium" w:eastAsia="Times New Roman" w:hAnsi="GalanoGrotesque-Medium" w:cs="Arial"/>
          <w:sz w:val="16"/>
          <w:szCs w:val="24"/>
          <w:lang w:val="es-ES" w:eastAsia="es-ES"/>
        </w:rPr>
      </w:pPr>
      <w:r w:rsidRPr="00776204">
        <w:rPr>
          <w:rFonts w:ascii="GalanoGrotesque-Medium" w:eastAsia="Times New Roman" w:hAnsi="GalanoGrotesque-Medium" w:cs="Arial"/>
          <w:sz w:val="16"/>
          <w:szCs w:val="24"/>
          <w:lang w:val="es-ES" w:eastAsia="es-ES"/>
        </w:rPr>
        <w:t>Modelo de trabajo de las reuniones de planeación</w:t>
      </w:r>
    </w:p>
    <w:p w14:paraId="32AB89F2" w14:textId="77777777" w:rsidR="00482384" w:rsidRPr="00482384" w:rsidRDefault="00482384" w:rsidP="00482384">
      <w:pPr>
        <w:spacing w:after="0" w:line="360" w:lineRule="auto"/>
        <w:ind w:right="59"/>
        <w:jc w:val="center"/>
        <w:rPr>
          <w:rFonts w:ascii="GalanoGrotesque-Medium" w:eastAsia="Times New Roman" w:hAnsi="GalanoGrotesque-Medium" w:cs="Arial"/>
          <w:b/>
          <w:sz w:val="20"/>
          <w:szCs w:val="20"/>
          <w:lang w:val="es-ES" w:eastAsia="es-ES"/>
        </w:rPr>
      </w:pPr>
      <w:r w:rsidRPr="00482384">
        <w:rPr>
          <w:rFonts w:ascii="GalanoGrotesque-Medium" w:eastAsia="Times New Roman" w:hAnsi="GalanoGrotesque-Medium" w:cs="Arial"/>
          <w:b/>
          <w:noProof/>
          <w:sz w:val="20"/>
          <w:szCs w:val="20"/>
          <w:lang w:val="es-ES" w:eastAsia="es-ES"/>
        </w:rPr>
        <w:drawing>
          <wp:inline distT="0" distB="0" distL="0" distR="0" wp14:anchorId="4DEEAFFF" wp14:editId="58E29FA7">
            <wp:extent cx="2931956" cy="1343025"/>
            <wp:effectExtent l="0" t="0" r="1905" b="0"/>
            <wp:docPr id="59400" name="Imagen 5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6562" cy="1349715"/>
                    </a:xfrm>
                    <a:prstGeom prst="rect">
                      <a:avLst/>
                    </a:prstGeom>
                    <a:noFill/>
                  </pic:spPr>
                </pic:pic>
              </a:graphicData>
            </a:graphic>
          </wp:inline>
        </w:drawing>
      </w:r>
    </w:p>
    <w:p w14:paraId="79D7CA40" w14:textId="77777777" w:rsidR="00482384" w:rsidRPr="00FC277F" w:rsidRDefault="00482384" w:rsidP="001A1FC2">
      <w:pPr>
        <w:spacing w:after="0" w:line="180" w:lineRule="exact"/>
        <w:jc w:val="center"/>
        <w:rPr>
          <w:rFonts w:ascii="GalanoGrotesque-Regular" w:eastAsia="Times New Roman" w:hAnsi="GalanoGrotesque-Regular" w:cs="Arial"/>
          <w:sz w:val="16"/>
          <w:szCs w:val="20"/>
          <w:lang w:val="es-ES" w:eastAsia="es-ES"/>
        </w:rPr>
      </w:pPr>
      <w:r w:rsidRPr="00FC277F">
        <w:rPr>
          <w:rFonts w:ascii="GalanoGrotesque-Regular" w:eastAsia="Times New Roman" w:hAnsi="GalanoGrotesque-Regular" w:cs="Arial"/>
          <w:sz w:val="16"/>
          <w:szCs w:val="20"/>
          <w:lang w:val="es-ES" w:eastAsia="es-ES"/>
        </w:rPr>
        <w:t>Fuente: Elaboración propia, Coordinación General de Gabinete y Planeación del Gobierno de Michoacán.</w:t>
      </w:r>
    </w:p>
    <w:p w14:paraId="6676E213" w14:textId="77777777" w:rsidR="00482384" w:rsidRDefault="00482384" w:rsidP="00482384">
      <w:pPr>
        <w:spacing w:after="0" w:line="240" w:lineRule="auto"/>
        <w:jc w:val="both"/>
        <w:rPr>
          <w:rFonts w:ascii="GalanoGrotesque-Regular" w:eastAsia="Times New Roman" w:hAnsi="GalanoGrotesque-Regular" w:cs="Arial"/>
          <w:sz w:val="20"/>
          <w:szCs w:val="20"/>
          <w:lang w:val="es-ES" w:eastAsia="es-ES"/>
        </w:rPr>
      </w:pPr>
    </w:p>
    <w:p w14:paraId="79CBD13C" w14:textId="77777777" w:rsidR="00482384" w:rsidRPr="00A00313" w:rsidRDefault="00482384" w:rsidP="001A1FC2">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La metodología seguida (Administración Estratégica) permitió la identificación de un mapa de la problemática en cada prioridad, así como la propuesta estratégica para integrarse al PLADIEM. Esta metodología facilitó la construcción de relaciones sobre un conjunto de </w:t>
      </w:r>
      <w:r w:rsidRPr="00A00313">
        <w:rPr>
          <w:rFonts w:ascii="MyriadPro-Regular" w:hAnsi="MyriadPro-Regular" w:cs="MyriadPro-Regular"/>
          <w:color w:val="414142"/>
          <w:sz w:val="20"/>
          <w:szCs w:val="20"/>
        </w:rPr>
        <w:lastRenderedPageBreak/>
        <w:t xml:space="preserve">ideas, reforzando el diálogo entre la estructura de gobierno para analizar, proponer e incidir en cada prioridad. A través de un sistema informático de inferencia, se estableció la relación entre los distintos elementos, conservando la consistencia discursiva. Los productos resultantes fueron estructuras lógicas y mapas de relaciones (patrones), que permitieron interpretaciones significativas a problemas complejos. </w:t>
      </w:r>
    </w:p>
    <w:p w14:paraId="1B26DEF0" w14:textId="77777777" w:rsidR="00482384" w:rsidRPr="00A00313" w:rsidRDefault="00482384" w:rsidP="001A1FC2">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El diálogo brindó similitudes y diferencias en puntos de vista, permitiendo así la oportunidad para los participantes de establecer la importancia de la transversalidad en la atención de las demandas de la sociedad.</w:t>
      </w:r>
    </w:p>
    <w:p w14:paraId="3D4365A5" w14:textId="77777777" w:rsidR="00482384" w:rsidRPr="00A00313" w:rsidRDefault="00482384" w:rsidP="001A1FC2">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Las estructuras lógicas en los talleres se construyeron con las siguientes actividades:</w:t>
      </w:r>
    </w:p>
    <w:p w14:paraId="5D9F3738" w14:textId="77777777" w:rsidR="00482384" w:rsidRPr="00FC277F" w:rsidRDefault="00FC277F" w:rsidP="00FC277F">
      <w:pPr>
        <w:spacing w:after="240"/>
        <w:ind w:left="708"/>
        <w:jc w:val="both"/>
        <w:rPr>
          <w:rFonts w:ascii="MyriadPro-Regular" w:hAnsi="MyriadPro-Regular" w:cs="MyriadPro-Regular"/>
          <w:b/>
          <w:color w:val="414142"/>
          <w:sz w:val="20"/>
          <w:szCs w:val="20"/>
        </w:rPr>
      </w:pPr>
      <w:r w:rsidRPr="00FC277F">
        <w:rPr>
          <w:rFonts w:ascii="MyriadPro-Regular" w:hAnsi="MyriadPro-Regular" w:cs="MyriadPro-Regular"/>
          <w:b/>
          <w:color w:val="414142"/>
          <w:sz w:val="20"/>
          <w:szCs w:val="20"/>
        </w:rPr>
        <w:t>1.-</w:t>
      </w:r>
      <w:r w:rsidR="00482384" w:rsidRPr="00FC277F">
        <w:rPr>
          <w:rFonts w:ascii="MyriadPro-Regular" w:hAnsi="MyriadPro-Regular" w:cs="MyriadPro-Regular"/>
          <w:b/>
          <w:color w:val="414142"/>
          <w:sz w:val="20"/>
          <w:szCs w:val="20"/>
        </w:rPr>
        <w:t xml:space="preserve">Generación de ideas </w:t>
      </w:r>
    </w:p>
    <w:p w14:paraId="401635BD" w14:textId="77777777" w:rsidR="00482384" w:rsidRPr="00FC277F" w:rsidRDefault="00FC277F" w:rsidP="00FC277F">
      <w:pPr>
        <w:spacing w:after="240"/>
        <w:ind w:left="708"/>
        <w:jc w:val="both"/>
        <w:rPr>
          <w:rFonts w:ascii="MyriadPro-Regular" w:hAnsi="MyriadPro-Regular" w:cs="MyriadPro-Regular"/>
          <w:b/>
          <w:color w:val="414142"/>
          <w:sz w:val="20"/>
          <w:szCs w:val="20"/>
        </w:rPr>
      </w:pPr>
      <w:r w:rsidRPr="00FC277F">
        <w:rPr>
          <w:rFonts w:ascii="MyriadPro-Regular" w:hAnsi="MyriadPro-Regular" w:cs="MyriadPro-Regular"/>
          <w:b/>
          <w:color w:val="414142"/>
          <w:sz w:val="20"/>
          <w:szCs w:val="20"/>
        </w:rPr>
        <w:t>2.-</w:t>
      </w:r>
      <w:r w:rsidR="00482384" w:rsidRPr="00FC277F">
        <w:rPr>
          <w:rFonts w:ascii="MyriadPro-Regular" w:hAnsi="MyriadPro-Regular" w:cs="MyriadPro-Regular"/>
          <w:b/>
          <w:color w:val="414142"/>
          <w:sz w:val="20"/>
          <w:szCs w:val="20"/>
        </w:rPr>
        <w:t xml:space="preserve">Clarificación </w:t>
      </w:r>
    </w:p>
    <w:p w14:paraId="2F1857B2" w14:textId="77777777" w:rsidR="00482384" w:rsidRPr="00FC277F" w:rsidRDefault="00FC277F" w:rsidP="00FC277F">
      <w:pPr>
        <w:spacing w:after="240"/>
        <w:ind w:left="708"/>
        <w:jc w:val="both"/>
        <w:rPr>
          <w:rFonts w:ascii="MyriadPro-Regular" w:hAnsi="MyriadPro-Regular" w:cs="MyriadPro-Regular"/>
          <w:b/>
          <w:color w:val="414142"/>
          <w:sz w:val="20"/>
          <w:szCs w:val="20"/>
        </w:rPr>
      </w:pPr>
      <w:r w:rsidRPr="00FC277F">
        <w:rPr>
          <w:rFonts w:ascii="MyriadPro-Regular" w:hAnsi="MyriadPro-Regular" w:cs="MyriadPro-Regular"/>
          <w:b/>
          <w:color w:val="414142"/>
          <w:sz w:val="20"/>
          <w:szCs w:val="20"/>
        </w:rPr>
        <w:t>3.-</w:t>
      </w:r>
      <w:r w:rsidR="00482384" w:rsidRPr="00FC277F">
        <w:rPr>
          <w:rFonts w:ascii="MyriadPro-Regular" w:hAnsi="MyriadPro-Regular" w:cs="MyriadPro-Regular"/>
          <w:b/>
          <w:color w:val="414142"/>
          <w:sz w:val="20"/>
          <w:szCs w:val="20"/>
        </w:rPr>
        <w:t xml:space="preserve">Selección  </w:t>
      </w:r>
    </w:p>
    <w:p w14:paraId="53E91ECE" w14:textId="77777777" w:rsidR="00482384" w:rsidRPr="00FC277F" w:rsidRDefault="00FC277F" w:rsidP="00FC277F">
      <w:pPr>
        <w:spacing w:after="240"/>
        <w:ind w:left="708"/>
        <w:jc w:val="both"/>
        <w:rPr>
          <w:rFonts w:ascii="MyriadPro-Regular" w:hAnsi="MyriadPro-Regular" w:cs="MyriadPro-Regular"/>
          <w:b/>
          <w:color w:val="414142"/>
          <w:sz w:val="20"/>
          <w:szCs w:val="20"/>
        </w:rPr>
      </w:pPr>
      <w:r w:rsidRPr="00FC277F">
        <w:rPr>
          <w:rFonts w:ascii="MyriadPro-Regular" w:hAnsi="MyriadPro-Regular" w:cs="MyriadPro-Regular"/>
          <w:b/>
          <w:color w:val="414142"/>
          <w:sz w:val="20"/>
          <w:szCs w:val="20"/>
        </w:rPr>
        <w:t>4.-</w:t>
      </w:r>
      <w:r w:rsidR="00482384" w:rsidRPr="00FC277F">
        <w:rPr>
          <w:rFonts w:ascii="MyriadPro-Regular" w:hAnsi="MyriadPro-Regular" w:cs="MyriadPro-Regular"/>
          <w:b/>
          <w:color w:val="414142"/>
          <w:sz w:val="20"/>
          <w:szCs w:val="20"/>
        </w:rPr>
        <w:t>Estructuración de las ideas</w:t>
      </w:r>
    </w:p>
    <w:p w14:paraId="314FA831" w14:textId="77777777" w:rsidR="00482384" w:rsidRPr="00FC277F" w:rsidRDefault="00FC277F" w:rsidP="00FC277F">
      <w:pPr>
        <w:spacing w:after="240"/>
        <w:ind w:left="708"/>
        <w:jc w:val="both"/>
        <w:rPr>
          <w:rFonts w:ascii="MyriadPro-Regular" w:hAnsi="MyriadPro-Regular" w:cs="MyriadPro-Regular"/>
          <w:b/>
          <w:color w:val="414142"/>
          <w:sz w:val="20"/>
          <w:szCs w:val="20"/>
        </w:rPr>
      </w:pPr>
      <w:r w:rsidRPr="00FC277F">
        <w:rPr>
          <w:rFonts w:ascii="MyriadPro-Regular" w:hAnsi="MyriadPro-Regular" w:cs="MyriadPro-Regular"/>
          <w:b/>
          <w:color w:val="414142"/>
          <w:sz w:val="20"/>
          <w:szCs w:val="20"/>
        </w:rPr>
        <w:t xml:space="preserve">5.- </w:t>
      </w:r>
      <w:r w:rsidR="00482384" w:rsidRPr="00FC277F">
        <w:rPr>
          <w:rFonts w:ascii="MyriadPro-Regular" w:hAnsi="MyriadPro-Regular" w:cs="MyriadPro-Regular"/>
          <w:b/>
          <w:color w:val="414142"/>
          <w:sz w:val="20"/>
          <w:szCs w:val="20"/>
        </w:rPr>
        <w:t>Despliegue e interpretación de la estructura resultante</w:t>
      </w:r>
    </w:p>
    <w:p w14:paraId="57F43418" w14:textId="77777777" w:rsidR="00482384" w:rsidRPr="00A00313" w:rsidRDefault="00482384" w:rsidP="00D9380C">
      <w:pPr>
        <w:spacing w:afterLines="100" w:after="24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Las fases del taller fueron:</w:t>
      </w:r>
    </w:p>
    <w:p w14:paraId="4E7F63D2" w14:textId="77777777" w:rsidR="00482384" w:rsidRPr="00FC277F" w:rsidRDefault="00482384" w:rsidP="00D9380C">
      <w:pPr>
        <w:spacing w:afterLines="100" w:after="240" w:line="240" w:lineRule="auto"/>
        <w:jc w:val="both"/>
        <w:rPr>
          <w:rFonts w:ascii="MyriadPro-Regular" w:hAnsi="MyriadPro-Regular" w:cs="MyriadPro-Regular"/>
          <w:b/>
          <w:color w:val="414142"/>
          <w:sz w:val="20"/>
          <w:szCs w:val="20"/>
        </w:rPr>
      </w:pPr>
      <w:r w:rsidRPr="00FC277F">
        <w:rPr>
          <w:rFonts w:ascii="MyriadPro-Regular" w:hAnsi="MyriadPro-Regular" w:cs="MyriadPro-Regular"/>
          <w:b/>
          <w:color w:val="414142"/>
          <w:sz w:val="20"/>
          <w:szCs w:val="20"/>
        </w:rPr>
        <w:t>1. Análisis de la problemática</w:t>
      </w:r>
    </w:p>
    <w:p w14:paraId="082546BC" w14:textId="77777777" w:rsidR="00482384" w:rsidRPr="00FC277F" w:rsidRDefault="00482384" w:rsidP="00D9380C">
      <w:pPr>
        <w:pStyle w:val="Prrafodelista"/>
        <w:numPr>
          <w:ilvl w:val="0"/>
          <w:numId w:val="15"/>
        </w:numPr>
        <w:spacing w:afterLines="100" w:after="240"/>
        <w:jc w:val="both"/>
        <w:rPr>
          <w:rFonts w:ascii="MyriadPro-Regular" w:hAnsi="MyriadPro-Regular" w:cs="MyriadPro-Regular"/>
          <w:color w:val="414142"/>
          <w:sz w:val="20"/>
          <w:szCs w:val="20"/>
        </w:rPr>
      </w:pPr>
      <w:r w:rsidRPr="00FC277F">
        <w:rPr>
          <w:rFonts w:ascii="MyriadPro-Regular" w:hAnsi="MyriadPro-Regular" w:cs="MyriadPro-Regular"/>
          <w:color w:val="414142"/>
          <w:sz w:val="20"/>
          <w:szCs w:val="20"/>
        </w:rPr>
        <w:t>Presentación del análisis de la situación actual</w:t>
      </w:r>
    </w:p>
    <w:p w14:paraId="19174CCD" w14:textId="77777777" w:rsidR="00482384" w:rsidRPr="00FC277F" w:rsidRDefault="00482384" w:rsidP="00D9380C">
      <w:pPr>
        <w:pStyle w:val="Prrafodelista"/>
        <w:numPr>
          <w:ilvl w:val="0"/>
          <w:numId w:val="15"/>
        </w:numPr>
        <w:spacing w:afterLines="100" w:after="240"/>
        <w:jc w:val="both"/>
        <w:rPr>
          <w:rFonts w:ascii="MyriadPro-Regular" w:hAnsi="MyriadPro-Regular" w:cs="MyriadPro-Regular"/>
          <w:color w:val="414142"/>
          <w:sz w:val="20"/>
          <w:szCs w:val="20"/>
        </w:rPr>
      </w:pPr>
      <w:r w:rsidRPr="00FC277F">
        <w:rPr>
          <w:rFonts w:ascii="MyriadPro-Regular" w:hAnsi="MyriadPro-Regular" w:cs="MyriadPro-Regular"/>
          <w:color w:val="414142"/>
          <w:sz w:val="20"/>
          <w:szCs w:val="20"/>
        </w:rPr>
        <w:t>Definición de problemas</w:t>
      </w:r>
    </w:p>
    <w:p w14:paraId="2DEA1849" w14:textId="77777777" w:rsidR="00482384" w:rsidRPr="001A1FC2" w:rsidRDefault="00482384" w:rsidP="00D9380C">
      <w:pPr>
        <w:pStyle w:val="Prrafodelista"/>
        <w:numPr>
          <w:ilvl w:val="0"/>
          <w:numId w:val="15"/>
        </w:numPr>
        <w:spacing w:afterLines="100" w:after="240"/>
        <w:jc w:val="both"/>
        <w:rPr>
          <w:rFonts w:ascii="MyriadPro-Regular" w:hAnsi="MyriadPro-Regular" w:cs="MyriadPro-Regular"/>
          <w:color w:val="414142"/>
          <w:sz w:val="20"/>
          <w:szCs w:val="20"/>
        </w:rPr>
      </w:pPr>
      <w:r w:rsidRPr="001A1FC2">
        <w:rPr>
          <w:rFonts w:ascii="MyriadPro-Regular" w:hAnsi="MyriadPro-Regular" w:cs="MyriadPro-Regular"/>
          <w:color w:val="414142"/>
          <w:sz w:val="20"/>
          <w:szCs w:val="20"/>
        </w:rPr>
        <w:t>Mapa de agravamiento</w:t>
      </w:r>
    </w:p>
    <w:p w14:paraId="08B26AC3" w14:textId="77777777" w:rsidR="00482384" w:rsidRPr="00FC277F" w:rsidRDefault="00482384" w:rsidP="00D9380C">
      <w:pPr>
        <w:spacing w:afterLines="100" w:after="240" w:line="240" w:lineRule="auto"/>
        <w:jc w:val="both"/>
        <w:rPr>
          <w:rFonts w:ascii="MyriadPro-Regular" w:hAnsi="MyriadPro-Regular" w:cs="MyriadPro-Regular"/>
          <w:b/>
          <w:color w:val="414142"/>
          <w:sz w:val="20"/>
          <w:szCs w:val="20"/>
        </w:rPr>
      </w:pPr>
      <w:r w:rsidRPr="00FC277F">
        <w:rPr>
          <w:rFonts w:ascii="MyriadPro-Regular" w:hAnsi="MyriadPro-Regular" w:cs="MyriadPro-Regular"/>
          <w:b/>
          <w:color w:val="414142"/>
          <w:sz w:val="20"/>
          <w:szCs w:val="20"/>
        </w:rPr>
        <w:t>2. Formulación estratégica</w:t>
      </w:r>
    </w:p>
    <w:p w14:paraId="3FB65DD5" w14:textId="77777777" w:rsidR="00482384" w:rsidRPr="00FC277F" w:rsidRDefault="00482384" w:rsidP="00D9380C">
      <w:pPr>
        <w:pStyle w:val="Prrafodelista"/>
        <w:numPr>
          <w:ilvl w:val="0"/>
          <w:numId w:val="16"/>
        </w:numPr>
        <w:spacing w:afterLines="100" w:after="240"/>
        <w:jc w:val="both"/>
        <w:rPr>
          <w:rFonts w:ascii="MyriadPro-Regular" w:hAnsi="MyriadPro-Regular" w:cs="MyriadPro-Regular"/>
          <w:color w:val="414142"/>
          <w:sz w:val="20"/>
          <w:szCs w:val="20"/>
        </w:rPr>
      </w:pPr>
      <w:r w:rsidRPr="00FC277F">
        <w:rPr>
          <w:rFonts w:ascii="MyriadPro-Regular" w:hAnsi="MyriadPro-Regular" w:cs="MyriadPro-Regular"/>
          <w:color w:val="414142"/>
          <w:sz w:val="20"/>
          <w:szCs w:val="20"/>
        </w:rPr>
        <w:t>Propuesta de objetivos</w:t>
      </w:r>
    </w:p>
    <w:p w14:paraId="523A878C" w14:textId="77777777" w:rsidR="00482384" w:rsidRPr="00FC277F" w:rsidRDefault="00482384" w:rsidP="00D9380C">
      <w:pPr>
        <w:pStyle w:val="Prrafodelista"/>
        <w:numPr>
          <w:ilvl w:val="0"/>
          <w:numId w:val="16"/>
        </w:numPr>
        <w:spacing w:afterLines="100" w:after="240"/>
        <w:jc w:val="both"/>
        <w:rPr>
          <w:rFonts w:ascii="MyriadPro-Regular" w:hAnsi="MyriadPro-Regular" w:cs="MyriadPro-Regular"/>
          <w:color w:val="414142"/>
          <w:sz w:val="20"/>
          <w:szCs w:val="20"/>
        </w:rPr>
      </w:pPr>
      <w:r w:rsidRPr="00FC277F">
        <w:rPr>
          <w:rFonts w:ascii="MyriadPro-Regular" w:hAnsi="MyriadPro-Regular" w:cs="MyriadPro-Regular"/>
          <w:color w:val="414142"/>
          <w:sz w:val="20"/>
          <w:szCs w:val="20"/>
        </w:rPr>
        <w:t>Identificación de las principales acciones que asegurarán el logro de los objetivos</w:t>
      </w:r>
    </w:p>
    <w:p w14:paraId="2A6EF787" w14:textId="77777777" w:rsidR="00482384" w:rsidRPr="00FC277F" w:rsidRDefault="00482384" w:rsidP="00D9380C">
      <w:pPr>
        <w:pStyle w:val="Prrafodelista"/>
        <w:numPr>
          <w:ilvl w:val="0"/>
          <w:numId w:val="16"/>
        </w:numPr>
        <w:spacing w:afterLines="100" w:after="240"/>
        <w:jc w:val="both"/>
        <w:rPr>
          <w:rFonts w:ascii="MyriadPro-Regular" w:hAnsi="MyriadPro-Regular" w:cs="MyriadPro-Regular"/>
          <w:color w:val="414142"/>
          <w:sz w:val="20"/>
          <w:szCs w:val="20"/>
        </w:rPr>
      </w:pPr>
      <w:r w:rsidRPr="00FC277F">
        <w:rPr>
          <w:rFonts w:ascii="MyriadPro-Regular" w:hAnsi="MyriadPro-Regular" w:cs="MyriadPro-Regular"/>
          <w:color w:val="414142"/>
          <w:sz w:val="20"/>
          <w:szCs w:val="20"/>
        </w:rPr>
        <w:t>Clarificación</w:t>
      </w:r>
    </w:p>
    <w:p w14:paraId="7E1ABE92" w14:textId="77777777" w:rsidR="00482384" w:rsidRPr="00FC277F" w:rsidRDefault="00482384" w:rsidP="00D9380C">
      <w:pPr>
        <w:pStyle w:val="Prrafodelista"/>
        <w:numPr>
          <w:ilvl w:val="0"/>
          <w:numId w:val="16"/>
        </w:numPr>
        <w:spacing w:afterLines="100" w:after="240"/>
        <w:jc w:val="both"/>
        <w:rPr>
          <w:rFonts w:ascii="MyriadPro-Regular" w:hAnsi="MyriadPro-Regular" w:cs="MyriadPro-Regular"/>
          <w:color w:val="414142"/>
          <w:sz w:val="20"/>
          <w:szCs w:val="20"/>
        </w:rPr>
      </w:pPr>
      <w:r w:rsidRPr="00FC277F">
        <w:rPr>
          <w:rFonts w:ascii="MyriadPro-Regular" w:hAnsi="MyriadPro-Regular" w:cs="MyriadPro-Regular"/>
          <w:color w:val="414142"/>
          <w:sz w:val="20"/>
          <w:szCs w:val="20"/>
        </w:rPr>
        <w:t>Categorización de las acciones</w:t>
      </w:r>
    </w:p>
    <w:p w14:paraId="630DE0A5" w14:textId="77777777" w:rsidR="00482384" w:rsidRPr="00FC277F" w:rsidRDefault="00482384" w:rsidP="00D9380C">
      <w:pPr>
        <w:pStyle w:val="Prrafodelista"/>
        <w:numPr>
          <w:ilvl w:val="0"/>
          <w:numId w:val="16"/>
        </w:numPr>
        <w:spacing w:afterLines="100" w:after="240"/>
        <w:jc w:val="both"/>
        <w:rPr>
          <w:rFonts w:ascii="MyriadPro-Regular" w:hAnsi="MyriadPro-Regular" w:cs="MyriadPro-Regular"/>
          <w:color w:val="414142"/>
          <w:sz w:val="20"/>
          <w:szCs w:val="20"/>
        </w:rPr>
      </w:pPr>
      <w:r w:rsidRPr="00FC277F">
        <w:rPr>
          <w:rFonts w:ascii="MyriadPro-Regular" w:hAnsi="MyriadPro-Regular" w:cs="MyriadPro-Regular"/>
          <w:color w:val="414142"/>
          <w:sz w:val="20"/>
          <w:szCs w:val="20"/>
        </w:rPr>
        <w:t>Identificación de líneas estratégicas</w:t>
      </w:r>
    </w:p>
    <w:p w14:paraId="267012A7" w14:textId="77777777" w:rsidR="00482384" w:rsidRPr="00FC277F" w:rsidRDefault="00482384" w:rsidP="00D9380C">
      <w:pPr>
        <w:pStyle w:val="Prrafodelista"/>
        <w:numPr>
          <w:ilvl w:val="0"/>
          <w:numId w:val="16"/>
        </w:numPr>
        <w:spacing w:afterLines="100" w:after="240"/>
        <w:jc w:val="both"/>
        <w:rPr>
          <w:rFonts w:ascii="MyriadPro-Regular" w:hAnsi="MyriadPro-Regular" w:cs="MyriadPro-Regular"/>
          <w:color w:val="414142"/>
          <w:sz w:val="20"/>
          <w:szCs w:val="20"/>
        </w:rPr>
      </w:pPr>
      <w:r w:rsidRPr="00FC277F">
        <w:rPr>
          <w:rFonts w:ascii="MyriadPro-Regular" w:hAnsi="MyriadPro-Regular" w:cs="MyriadPro-Regular"/>
          <w:color w:val="414142"/>
          <w:sz w:val="20"/>
          <w:szCs w:val="20"/>
        </w:rPr>
        <w:t>Priorización de acciones</w:t>
      </w:r>
    </w:p>
    <w:p w14:paraId="34885C0C" w14:textId="77777777" w:rsidR="00482384" w:rsidRPr="00A00313" w:rsidRDefault="00482384" w:rsidP="00D9380C">
      <w:pPr>
        <w:spacing w:afterLines="100" w:after="24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lastRenderedPageBreak/>
        <w:t>También se convocó a los delegados de las diferentes dependencias del gobierno federal, con el fin de escuchar su opinión sobre el PLADIEM y poder alinear la visión y programas federales a los del Estado de Michoacán, potenciando así la posibilidad de una mayor eficacia en las políticas públicas a plantear.</w:t>
      </w:r>
    </w:p>
    <w:p w14:paraId="6E4007DB" w14:textId="77777777" w:rsidR="00EB0227" w:rsidRPr="001A1FC2" w:rsidRDefault="00EB0227" w:rsidP="00E51DA8">
      <w:pPr>
        <w:pStyle w:val="Prrafodelista"/>
        <w:numPr>
          <w:ilvl w:val="0"/>
          <w:numId w:val="14"/>
        </w:numPr>
        <w:tabs>
          <w:tab w:val="clear" w:pos="720"/>
        </w:tabs>
        <w:spacing w:after="120"/>
        <w:ind w:left="426" w:hanging="437"/>
        <w:jc w:val="both"/>
        <w:rPr>
          <w:rFonts w:ascii="Myriad Pro" w:hAnsi="Myriad Pro" w:cs="Arial"/>
          <w:b/>
          <w:sz w:val="28"/>
          <w:szCs w:val="28"/>
        </w:rPr>
      </w:pPr>
      <w:r w:rsidRPr="001A6935">
        <w:rPr>
          <w:rFonts w:ascii="Myriad Pro" w:hAnsi="Myriad Pro" w:cs="Arial"/>
          <w:b/>
          <w:color w:val="404040" w:themeColor="text1" w:themeTint="BF"/>
          <w:sz w:val="28"/>
          <w:szCs w:val="28"/>
        </w:rPr>
        <w:t xml:space="preserve">Fase 4: Integración del PLADIEM </w:t>
      </w:r>
    </w:p>
    <w:p w14:paraId="297A520C" w14:textId="77777777" w:rsidR="00EB0227" w:rsidRPr="00A00313" w:rsidRDefault="00EB0227" w:rsidP="00D9380C">
      <w:pPr>
        <w:spacing w:after="18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El Comité para la Planeación del Estado de Michoacán (COPLADEM) convocó a principios de esta Administración a los órdenes federal y municipal con el objetivo de impulsar la planeación para el desarrollo integral del Estado. A esta convocatoria, realizada de acuerdo a la legislación vigente, asistieron los poderes legislativo y judicial así como representantes de la sociedad y del sector productivo y de servicios,  diversos actores sociales y organizaciones civiles.</w:t>
      </w:r>
    </w:p>
    <w:p w14:paraId="54AA6901" w14:textId="77777777" w:rsidR="00482384" w:rsidRPr="00A00313" w:rsidRDefault="00EB0227" w:rsidP="00D9380C">
      <w:pPr>
        <w:spacing w:after="18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El PLADIEM se articuló con base en las nueve prioridades transversales, mismas que se alinearon al Plan Nacional de Desarrollo 2013-2018 y a los objetivos de desarrollo sostenible que estableció la Organización de las Naciones Unidas</w:t>
      </w:r>
      <w:r w:rsidRPr="00A75B3A">
        <w:rPr>
          <w:rFonts w:ascii="MyriadPro-Regular" w:hAnsi="MyriadPro-Regular" w:cs="MyriadPro-Regular"/>
          <w:color w:val="414142"/>
          <w:sz w:val="20"/>
          <w:szCs w:val="20"/>
          <w:vertAlign w:val="superscript"/>
        </w:rPr>
        <w:footnoteReference w:id="1"/>
      </w:r>
      <w:r w:rsidRPr="00A00313">
        <w:rPr>
          <w:rFonts w:ascii="MyriadPro-Regular" w:hAnsi="MyriadPro-Regular" w:cs="MyriadPro-Regular"/>
          <w:color w:val="414142"/>
          <w:sz w:val="20"/>
          <w:szCs w:val="20"/>
        </w:rPr>
        <w:t>.</w:t>
      </w:r>
    </w:p>
    <w:p w14:paraId="288B329E" w14:textId="77777777" w:rsidR="002F393E" w:rsidRPr="00A00313" w:rsidRDefault="002F393E" w:rsidP="00D9380C">
      <w:pPr>
        <w:spacing w:after="18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Posteriormente se definieron los objetivos y líneas estratégicas de cada prioridad, de las cuales se derivaron acciones prioritarias bien acotadas que recogen las demandas, necesidades y sugerencias de los diversos participantes de la sociedad michoacana.</w:t>
      </w:r>
    </w:p>
    <w:p w14:paraId="7F219669" w14:textId="77777777" w:rsidR="002F393E" w:rsidRPr="00A00313" w:rsidRDefault="002F393E" w:rsidP="00D9380C">
      <w:pPr>
        <w:spacing w:after="18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Los retos y desafíos se han convertido en estrategias con una instrumentación viable y pertinente que, con el adecuado monitoreo y seguimiento periódico, permitirá su medición y valoración. La complejidad de la realidad y la dinámica social obligará a la reconsideración y reformulación de las acciones. Esto convierte al PLADIEM en una guía funcional, realista, concreta y dinámica del rumbo del Estado.</w:t>
      </w:r>
    </w:p>
    <w:p w14:paraId="46943121" w14:textId="77777777" w:rsidR="002F393E" w:rsidRDefault="002F393E" w:rsidP="00D9380C">
      <w:pPr>
        <w:spacing w:after="18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El PLADIEM no es una recopilación de todo lo que se puede hacer, sino un conjunto de políticas públicas, líneas estratégicas y acciones que deberán generar la transformación de Michoacán </w:t>
      </w:r>
      <w:r w:rsidRPr="00A00313">
        <w:rPr>
          <w:rFonts w:ascii="MyriadPro-Regular" w:hAnsi="MyriadPro-Regular" w:cs="MyriadPro-Regular"/>
          <w:color w:val="414142"/>
          <w:sz w:val="20"/>
          <w:szCs w:val="20"/>
        </w:rPr>
        <w:lastRenderedPageBreak/>
        <w:t>y el mejoramiento del bienestar de la sociedad en su conjunto.</w:t>
      </w:r>
    </w:p>
    <w:p w14:paraId="48FCF99E" w14:textId="77777777" w:rsidR="007B4312" w:rsidRDefault="007B4312" w:rsidP="00D9380C">
      <w:pPr>
        <w:spacing w:after="180" w:line="240" w:lineRule="auto"/>
        <w:jc w:val="both"/>
        <w:rPr>
          <w:rFonts w:ascii="MyriadPro-Regular" w:hAnsi="MyriadPro-Regular" w:cs="MyriadPro-Regular"/>
          <w:color w:val="414142"/>
          <w:sz w:val="20"/>
          <w:szCs w:val="20"/>
        </w:rPr>
      </w:pPr>
    </w:p>
    <w:p w14:paraId="660B7E58" w14:textId="77777777" w:rsidR="007B4312" w:rsidRDefault="007B4312" w:rsidP="00293B5A">
      <w:pPr>
        <w:pStyle w:val="Prrafodelista"/>
        <w:numPr>
          <w:ilvl w:val="0"/>
          <w:numId w:val="14"/>
        </w:numPr>
        <w:tabs>
          <w:tab w:val="clear" w:pos="720"/>
        </w:tabs>
        <w:spacing w:after="160"/>
        <w:ind w:left="426" w:hanging="426"/>
        <w:jc w:val="both"/>
        <w:outlineLvl w:val="0"/>
        <w:rPr>
          <w:rFonts w:ascii="Myriad Pro" w:hAnsi="Myriad Pro" w:cs="Arial"/>
          <w:b/>
          <w:color w:val="404040" w:themeColor="text1" w:themeTint="BF"/>
          <w:sz w:val="28"/>
          <w:szCs w:val="28"/>
        </w:rPr>
        <w:sectPr w:rsidR="007B4312" w:rsidSect="00FF4B40">
          <w:footerReference w:type="default" r:id="rId25"/>
          <w:footnotePr>
            <w:numStart w:val="4"/>
          </w:footnotePr>
          <w:pgSz w:w="12240" w:h="15840" w:code="1"/>
          <w:pgMar w:top="1134" w:right="1418" w:bottom="1134" w:left="1418" w:header="567" w:footer="709" w:gutter="0"/>
          <w:cols w:num="2" w:space="567"/>
          <w:docGrid w:linePitch="360"/>
        </w:sectPr>
      </w:pPr>
      <w:bookmarkStart w:id="7" w:name="_Toc458015634"/>
    </w:p>
    <w:p w14:paraId="30DDCEA3" w14:textId="77777777" w:rsidR="007B4312" w:rsidRDefault="007B4312" w:rsidP="005C76BD">
      <w:pPr>
        <w:pStyle w:val="Prrafodelista"/>
        <w:spacing w:after="160"/>
        <w:ind w:left="426"/>
        <w:jc w:val="both"/>
        <w:outlineLvl w:val="0"/>
        <w:rPr>
          <w:rFonts w:ascii="Myriad Pro" w:hAnsi="Myriad Pro" w:cs="Arial"/>
          <w:b/>
          <w:color w:val="404040" w:themeColor="text1" w:themeTint="BF"/>
          <w:sz w:val="28"/>
          <w:szCs w:val="28"/>
        </w:rPr>
      </w:pPr>
    </w:p>
    <w:p w14:paraId="484D20CD" w14:textId="77777777" w:rsidR="007B4312" w:rsidRDefault="007B4312" w:rsidP="007B4312">
      <w:pPr>
        <w:pStyle w:val="Prrafodelista"/>
        <w:spacing w:after="160"/>
        <w:ind w:left="426"/>
        <w:jc w:val="both"/>
        <w:outlineLvl w:val="0"/>
        <w:rPr>
          <w:rFonts w:ascii="Myriad Pro" w:hAnsi="Myriad Pro" w:cs="Arial"/>
          <w:b/>
          <w:color w:val="404040" w:themeColor="text1" w:themeTint="BF"/>
          <w:sz w:val="28"/>
          <w:szCs w:val="28"/>
        </w:rPr>
      </w:pPr>
    </w:p>
    <w:p w14:paraId="78DC3133" w14:textId="5754AA06" w:rsidR="002F393E" w:rsidRPr="00E51DA8" w:rsidRDefault="002F393E" w:rsidP="00293B5A">
      <w:pPr>
        <w:pStyle w:val="Prrafodelista"/>
        <w:numPr>
          <w:ilvl w:val="0"/>
          <w:numId w:val="14"/>
        </w:numPr>
        <w:tabs>
          <w:tab w:val="clear" w:pos="720"/>
        </w:tabs>
        <w:spacing w:after="160"/>
        <w:ind w:left="426" w:hanging="426"/>
        <w:jc w:val="both"/>
        <w:outlineLvl w:val="0"/>
        <w:rPr>
          <w:rFonts w:ascii="Myriad Pro" w:hAnsi="Myriad Pro" w:cs="Arial"/>
          <w:b/>
          <w:color w:val="404040" w:themeColor="text1" w:themeTint="BF"/>
          <w:sz w:val="28"/>
          <w:szCs w:val="28"/>
        </w:rPr>
      </w:pPr>
      <w:r w:rsidRPr="00E51DA8">
        <w:rPr>
          <w:rFonts w:ascii="Myriad Pro" w:hAnsi="Myriad Pro" w:cs="Arial"/>
          <w:b/>
          <w:color w:val="404040" w:themeColor="text1" w:themeTint="BF"/>
          <w:sz w:val="28"/>
          <w:szCs w:val="28"/>
        </w:rPr>
        <w:t>Vinculación con el Plan Nacional de Desarrollo</w:t>
      </w:r>
      <w:bookmarkEnd w:id="7"/>
    </w:p>
    <w:p w14:paraId="32585E66" w14:textId="77777777" w:rsidR="002F393E" w:rsidRPr="00A00313" w:rsidRDefault="002F393E" w:rsidP="00D9380C">
      <w:pPr>
        <w:spacing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Es necesario garantizar la congruencia entre las políticas de los ámbitos federal, estatal y municipal. Para ello, la Constitución Política de los Estados Unidos Mexicanos, en su artículo 26, establece la obligación de elaborar un Sistema Nacional de Planeación; asimismo permite convenir acciones y recursos entre la Federación y las Entidades Federativas. </w:t>
      </w:r>
    </w:p>
    <w:p w14:paraId="032A460D" w14:textId="77777777" w:rsidR="002F393E" w:rsidRDefault="002F393E" w:rsidP="00D9380C">
      <w:pPr>
        <w:spacing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El Plan Nacional de Desarrollo 2013-2018 tiene cinco metas nacionales, que engloban el desarrollo del país (Figura 6).</w:t>
      </w:r>
    </w:p>
    <w:p w14:paraId="0C2D12C0" w14:textId="77777777" w:rsidR="007B4312" w:rsidRDefault="007B4312" w:rsidP="00D9380C">
      <w:pPr>
        <w:spacing w:line="240" w:lineRule="auto"/>
        <w:jc w:val="both"/>
        <w:rPr>
          <w:rFonts w:ascii="MyriadPro-Regular" w:hAnsi="MyriadPro-Regular" w:cs="MyriadPro-Regular"/>
          <w:color w:val="414142"/>
          <w:sz w:val="20"/>
          <w:szCs w:val="20"/>
        </w:rPr>
      </w:pPr>
    </w:p>
    <w:p w14:paraId="3834F417" w14:textId="77777777" w:rsidR="007B4312" w:rsidRPr="00A00313" w:rsidRDefault="007B4312" w:rsidP="00D9380C">
      <w:pPr>
        <w:spacing w:line="240" w:lineRule="auto"/>
        <w:jc w:val="both"/>
        <w:rPr>
          <w:rFonts w:ascii="MyriadPro-Regular" w:hAnsi="MyriadPro-Regular" w:cs="MyriadPro-Regular"/>
          <w:color w:val="414142"/>
          <w:sz w:val="20"/>
          <w:szCs w:val="20"/>
        </w:rPr>
      </w:pPr>
    </w:p>
    <w:p w14:paraId="07CE0FC8" w14:textId="77777777" w:rsidR="002F393E" w:rsidRPr="001A6935" w:rsidRDefault="002F393E" w:rsidP="001A6935">
      <w:pPr>
        <w:widowControl w:val="0"/>
        <w:autoSpaceDE w:val="0"/>
        <w:autoSpaceDN w:val="0"/>
        <w:adjustRightInd w:val="0"/>
        <w:spacing w:after="0" w:line="180" w:lineRule="exact"/>
        <w:jc w:val="center"/>
        <w:rPr>
          <w:rFonts w:ascii="GalanoGrotesque-Medium" w:eastAsia="Times New Roman" w:hAnsi="GalanoGrotesque-Medium" w:cs="Arial"/>
          <w:b/>
          <w:sz w:val="16"/>
          <w:szCs w:val="24"/>
          <w:lang w:val="es-ES" w:eastAsia="es-ES"/>
        </w:rPr>
      </w:pPr>
      <w:r w:rsidRPr="001A6935">
        <w:rPr>
          <w:rFonts w:ascii="GalanoGrotesque-Medium" w:eastAsia="Times New Roman" w:hAnsi="GalanoGrotesque-Medium" w:cs="Arial"/>
          <w:b/>
          <w:sz w:val="16"/>
          <w:szCs w:val="24"/>
          <w:lang w:val="es-ES" w:eastAsia="es-ES"/>
        </w:rPr>
        <w:t>Figura 6</w:t>
      </w:r>
    </w:p>
    <w:p w14:paraId="074021D6" w14:textId="77777777" w:rsidR="002F393E" w:rsidRPr="001A6935" w:rsidRDefault="002F393E" w:rsidP="001A6935">
      <w:pPr>
        <w:widowControl w:val="0"/>
        <w:autoSpaceDE w:val="0"/>
        <w:autoSpaceDN w:val="0"/>
        <w:adjustRightInd w:val="0"/>
        <w:spacing w:after="0" w:line="180" w:lineRule="exact"/>
        <w:jc w:val="center"/>
        <w:rPr>
          <w:rFonts w:ascii="GalanoGrotesque-Medium" w:eastAsia="Times New Roman" w:hAnsi="GalanoGrotesque-Medium" w:cs="Arial"/>
          <w:b/>
          <w:sz w:val="16"/>
          <w:szCs w:val="24"/>
          <w:lang w:val="es-ES" w:eastAsia="es-ES"/>
        </w:rPr>
      </w:pPr>
      <w:r w:rsidRPr="001A6935">
        <w:rPr>
          <w:rFonts w:ascii="GalanoGrotesque-Medium" w:eastAsia="Times New Roman" w:hAnsi="GalanoGrotesque-Medium" w:cs="Arial"/>
          <w:b/>
          <w:sz w:val="16"/>
          <w:szCs w:val="24"/>
          <w:lang w:val="es-ES" w:eastAsia="es-ES"/>
        </w:rPr>
        <w:t>Esquema del Plan Nacional de Desarrollo 2013 – 2018</w:t>
      </w:r>
    </w:p>
    <w:p w14:paraId="425EBF5D" w14:textId="77777777" w:rsidR="002F393E" w:rsidRPr="002F393E" w:rsidRDefault="002F393E" w:rsidP="002F393E">
      <w:pPr>
        <w:spacing w:after="120"/>
        <w:jc w:val="center"/>
        <w:rPr>
          <w:rFonts w:ascii="GalanoGrotesque-Medium" w:eastAsia="Times New Roman" w:hAnsi="GalanoGrotesque-Medium" w:cs="Arial"/>
          <w:b/>
          <w:sz w:val="20"/>
          <w:szCs w:val="20"/>
          <w:lang w:val="es-ES" w:eastAsia="es-ES"/>
        </w:rPr>
      </w:pPr>
      <w:r w:rsidRPr="002F393E">
        <w:rPr>
          <w:rFonts w:ascii="GalanoGrotesque-Medium" w:eastAsia="Times New Roman" w:hAnsi="GalanoGrotesque-Medium" w:cs="Times New Roman"/>
          <w:noProof/>
          <w:sz w:val="24"/>
          <w:szCs w:val="24"/>
          <w:lang w:val="es-ES" w:eastAsia="es-ES"/>
        </w:rPr>
        <w:drawing>
          <wp:inline distT="0" distB="0" distL="0" distR="0" wp14:anchorId="0913B797" wp14:editId="0AA23738">
            <wp:extent cx="5186481" cy="2257425"/>
            <wp:effectExtent l="0" t="0" r="0" b="0"/>
            <wp:docPr id="59401" name="Imagen 5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55187" cy="2287329"/>
                    </a:xfrm>
                    <a:prstGeom prst="rect">
                      <a:avLst/>
                    </a:prstGeom>
                  </pic:spPr>
                </pic:pic>
              </a:graphicData>
            </a:graphic>
          </wp:inline>
        </w:drawing>
      </w:r>
    </w:p>
    <w:p w14:paraId="731C0F28" w14:textId="77777777" w:rsidR="007B4312" w:rsidRDefault="007B4312" w:rsidP="002F393E">
      <w:pPr>
        <w:spacing w:after="240"/>
        <w:rPr>
          <w:rFonts w:ascii="GalanoGrotesque-Regular" w:hAnsi="GalanoGrotesque-Regular" w:cs="Arial"/>
          <w:sz w:val="14"/>
          <w:szCs w:val="20"/>
        </w:rPr>
        <w:sectPr w:rsidR="007B4312" w:rsidSect="007B4312">
          <w:footnotePr>
            <w:numStart w:val="4"/>
          </w:footnotePr>
          <w:type w:val="continuous"/>
          <w:pgSz w:w="12240" w:h="15840" w:code="1"/>
          <w:pgMar w:top="1134" w:right="1418" w:bottom="1134" w:left="1418" w:header="567" w:footer="709" w:gutter="0"/>
          <w:cols w:space="567"/>
          <w:docGrid w:linePitch="360"/>
        </w:sectPr>
      </w:pPr>
    </w:p>
    <w:p w14:paraId="47E018F2" w14:textId="61FAF1D3" w:rsidR="002F393E" w:rsidRPr="001A6935" w:rsidRDefault="002F393E" w:rsidP="007B4312">
      <w:pPr>
        <w:spacing w:after="240"/>
        <w:ind w:left="708"/>
        <w:jc w:val="center"/>
        <w:rPr>
          <w:rFonts w:ascii="GalanoGrotesque-Regular" w:hAnsi="GalanoGrotesque-Regular" w:cs="Arial"/>
          <w:sz w:val="14"/>
          <w:szCs w:val="20"/>
        </w:rPr>
      </w:pPr>
      <w:r w:rsidRPr="001A6935">
        <w:rPr>
          <w:rFonts w:ascii="GalanoGrotesque-Regular" w:hAnsi="GalanoGrotesque-Regular" w:cs="Arial"/>
          <w:sz w:val="14"/>
          <w:szCs w:val="20"/>
        </w:rPr>
        <w:lastRenderedPageBreak/>
        <w:t>Fuente: Tomado del PND 2013-2018, página 21.</w:t>
      </w:r>
    </w:p>
    <w:p w14:paraId="04B63C78" w14:textId="77777777" w:rsidR="007B4312" w:rsidRDefault="007B4312" w:rsidP="001A6935">
      <w:pPr>
        <w:spacing w:after="160" w:line="240" w:lineRule="auto"/>
        <w:jc w:val="both"/>
        <w:rPr>
          <w:rFonts w:ascii="MyriadPro-Regular" w:hAnsi="MyriadPro-Regular" w:cs="MyriadPro-Regular"/>
          <w:color w:val="414142"/>
          <w:sz w:val="20"/>
          <w:szCs w:val="20"/>
        </w:rPr>
        <w:sectPr w:rsidR="007B4312" w:rsidSect="007B4312">
          <w:footnotePr>
            <w:numStart w:val="4"/>
          </w:footnotePr>
          <w:type w:val="continuous"/>
          <w:pgSz w:w="12240" w:h="15840" w:code="1"/>
          <w:pgMar w:top="1134" w:right="1418" w:bottom="1134" w:left="1418" w:header="567" w:footer="709" w:gutter="0"/>
          <w:cols w:num="2" w:space="567"/>
          <w:docGrid w:linePitch="360"/>
        </w:sectPr>
      </w:pPr>
    </w:p>
    <w:p w14:paraId="102DB0F3" w14:textId="77777777" w:rsidR="006A5968" w:rsidRPr="001A6935" w:rsidRDefault="006A5968" w:rsidP="006A5968">
      <w:pPr>
        <w:widowControl w:val="0"/>
        <w:autoSpaceDE w:val="0"/>
        <w:autoSpaceDN w:val="0"/>
        <w:adjustRightInd w:val="0"/>
        <w:spacing w:after="0" w:line="180" w:lineRule="exact"/>
        <w:jc w:val="center"/>
        <w:rPr>
          <w:rFonts w:ascii="GalanoGrotesque-Medium" w:eastAsia="Times New Roman" w:hAnsi="GalanoGrotesque-Medium" w:cs="Arial"/>
          <w:b/>
          <w:sz w:val="16"/>
          <w:szCs w:val="24"/>
          <w:lang w:val="es-ES" w:eastAsia="es-ES"/>
        </w:rPr>
      </w:pPr>
      <w:r>
        <w:rPr>
          <w:rFonts w:ascii="GalanoGrotesque-Medium" w:eastAsia="Times New Roman" w:hAnsi="GalanoGrotesque-Medium" w:cs="Arial"/>
          <w:b/>
          <w:sz w:val="16"/>
          <w:szCs w:val="24"/>
          <w:lang w:val="es-ES" w:eastAsia="es-ES"/>
        </w:rPr>
        <w:lastRenderedPageBreak/>
        <w:t>Figura 7</w:t>
      </w:r>
    </w:p>
    <w:p w14:paraId="43EA20C9" w14:textId="77777777" w:rsidR="006A5968" w:rsidRPr="006A5968" w:rsidRDefault="006A5968" w:rsidP="006A5968">
      <w:pPr>
        <w:widowControl w:val="0"/>
        <w:autoSpaceDE w:val="0"/>
        <w:autoSpaceDN w:val="0"/>
        <w:adjustRightInd w:val="0"/>
        <w:spacing w:after="0" w:line="180" w:lineRule="exact"/>
        <w:jc w:val="center"/>
        <w:rPr>
          <w:rFonts w:ascii="GalanoGrotesque-Medium" w:eastAsia="Times New Roman" w:hAnsi="GalanoGrotesque-Medium" w:cs="Arial"/>
          <w:b/>
          <w:sz w:val="16"/>
          <w:szCs w:val="24"/>
          <w:lang w:val="es-ES" w:eastAsia="es-ES"/>
        </w:rPr>
        <w:sectPr w:rsidR="006A5968" w:rsidRPr="006A5968" w:rsidSect="006A5968">
          <w:footnotePr>
            <w:numStart w:val="4"/>
          </w:footnotePr>
          <w:pgSz w:w="12240" w:h="15840" w:code="1"/>
          <w:pgMar w:top="1134" w:right="1418" w:bottom="1134" w:left="1418" w:header="567" w:footer="709" w:gutter="0"/>
          <w:cols w:space="567"/>
          <w:docGrid w:linePitch="360"/>
        </w:sectPr>
      </w:pPr>
      <w:r>
        <w:rPr>
          <w:rFonts w:ascii="GalanoGrotesque-Medium" w:eastAsia="Times New Roman" w:hAnsi="GalanoGrotesque-Medium" w:cs="Arial"/>
          <w:b/>
          <w:sz w:val="16"/>
          <w:szCs w:val="24"/>
          <w:lang w:val="es-ES" w:eastAsia="es-ES"/>
        </w:rPr>
        <w:t>Alineación del PLADIEM al PND y ODS</w:t>
      </w:r>
    </w:p>
    <w:tbl>
      <w:tblPr>
        <w:tblW w:w="10826" w:type="dxa"/>
        <w:tblInd w:w="-781" w:type="dxa"/>
        <w:tblCellMar>
          <w:left w:w="70" w:type="dxa"/>
          <w:right w:w="70" w:type="dxa"/>
        </w:tblCellMar>
        <w:tblLook w:val="04A0" w:firstRow="1" w:lastRow="0" w:firstColumn="1" w:lastColumn="0" w:noHBand="0" w:noVBand="1"/>
      </w:tblPr>
      <w:tblGrid>
        <w:gridCol w:w="1893"/>
        <w:gridCol w:w="625"/>
        <w:gridCol w:w="625"/>
        <w:gridCol w:w="625"/>
        <w:gridCol w:w="3119"/>
        <w:gridCol w:w="3939"/>
      </w:tblGrid>
      <w:tr w:rsidR="006A5968" w:rsidRPr="001E7327" w14:paraId="669CE6A3" w14:textId="77777777" w:rsidTr="00475B98">
        <w:trPr>
          <w:trHeight w:val="67"/>
        </w:trPr>
        <w:tc>
          <w:tcPr>
            <w:tcW w:w="10826" w:type="dxa"/>
            <w:gridSpan w:val="6"/>
            <w:tcBorders>
              <w:top w:val="single" w:sz="8" w:space="0" w:color="auto"/>
              <w:left w:val="single" w:sz="8" w:space="0" w:color="auto"/>
              <w:bottom w:val="single" w:sz="8" w:space="0" w:color="auto"/>
              <w:right w:val="single" w:sz="8" w:space="0" w:color="000000"/>
            </w:tcBorders>
            <w:shd w:val="clear" w:color="000000" w:fill="D8D8D8"/>
            <w:noWrap/>
            <w:vAlign w:val="center"/>
            <w:hideMark/>
          </w:tcPr>
          <w:p w14:paraId="07F895F1" w14:textId="77777777" w:rsidR="006A5968" w:rsidRPr="001E7327" w:rsidRDefault="006A5968" w:rsidP="002034DC">
            <w:pPr>
              <w:jc w:val="center"/>
              <w:rPr>
                <w:rFonts w:ascii="GalanoGrotesque-Medium" w:hAnsi="GalanoGrotesque-Medium" w:cs="Arial"/>
                <w:b/>
                <w:bCs/>
                <w:color w:val="000000"/>
                <w:sz w:val="18"/>
                <w:szCs w:val="18"/>
                <w:lang w:eastAsia="es-MX"/>
              </w:rPr>
            </w:pPr>
            <w:r w:rsidRPr="001E7327">
              <w:rPr>
                <w:rFonts w:ascii="GalanoGrotesque-Medium" w:hAnsi="GalanoGrotesque-Medium" w:cs="Arial"/>
                <w:b/>
                <w:bCs/>
                <w:color w:val="000000"/>
                <w:sz w:val="18"/>
                <w:szCs w:val="18"/>
                <w:lang w:eastAsia="es-MX"/>
              </w:rPr>
              <w:lastRenderedPageBreak/>
              <w:t>Alineación            PND      PLADIEM   ODS</w:t>
            </w:r>
          </w:p>
        </w:tc>
      </w:tr>
      <w:tr w:rsidR="006A5968" w:rsidRPr="001E7327" w14:paraId="696F86B5" w14:textId="77777777" w:rsidTr="00475B98">
        <w:trPr>
          <w:trHeight w:val="180"/>
        </w:trPr>
        <w:tc>
          <w:tcPr>
            <w:tcW w:w="1893" w:type="dxa"/>
            <w:vMerge w:val="restart"/>
            <w:tcBorders>
              <w:top w:val="nil"/>
              <w:left w:val="single" w:sz="8" w:space="0" w:color="auto"/>
              <w:bottom w:val="single" w:sz="8" w:space="0" w:color="000000"/>
              <w:right w:val="single" w:sz="8" w:space="0" w:color="auto"/>
            </w:tcBorders>
            <w:shd w:val="clear" w:color="000000" w:fill="92D050"/>
            <w:noWrap/>
            <w:vAlign w:val="center"/>
            <w:hideMark/>
          </w:tcPr>
          <w:p w14:paraId="2C48DBE0" w14:textId="77777777" w:rsidR="006A5968" w:rsidRPr="001E7327" w:rsidRDefault="006A5968" w:rsidP="00F237F0">
            <w:pPr>
              <w:spacing w:after="0" w:line="180" w:lineRule="exact"/>
              <w:jc w:val="center"/>
              <w:rPr>
                <w:rFonts w:ascii="GalanoGrotesque-Medium" w:hAnsi="GalanoGrotesque-Medium" w:cs="Arial"/>
                <w:b/>
                <w:bCs/>
                <w:color w:val="000000"/>
                <w:sz w:val="18"/>
                <w:szCs w:val="18"/>
                <w:lang w:eastAsia="es-MX"/>
              </w:rPr>
            </w:pPr>
            <w:r w:rsidRPr="001E7327">
              <w:rPr>
                <w:rFonts w:ascii="GalanoGrotesque-Medium" w:hAnsi="GalanoGrotesque-Medium" w:cs="Arial"/>
                <w:b/>
                <w:bCs/>
                <w:color w:val="000000"/>
                <w:sz w:val="18"/>
                <w:szCs w:val="18"/>
                <w:lang w:eastAsia="es-MX"/>
              </w:rPr>
              <w:t>PND</w:t>
            </w:r>
          </w:p>
        </w:tc>
        <w:tc>
          <w:tcPr>
            <w:tcW w:w="1875" w:type="dxa"/>
            <w:gridSpan w:val="3"/>
            <w:vMerge w:val="restart"/>
            <w:tcBorders>
              <w:top w:val="single" w:sz="8" w:space="0" w:color="auto"/>
              <w:left w:val="single" w:sz="8" w:space="0" w:color="auto"/>
              <w:bottom w:val="single" w:sz="8" w:space="0" w:color="000000"/>
              <w:right w:val="single" w:sz="8" w:space="0" w:color="000000"/>
            </w:tcBorders>
            <w:shd w:val="clear" w:color="000000" w:fill="F79646"/>
            <w:vAlign w:val="center"/>
            <w:hideMark/>
          </w:tcPr>
          <w:p w14:paraId="0227DFFE" w14:textId="77777777" w:rsidR="006A5968" w:rsidRPr="001E7327" w:rsidRDefault="006A5968" w:rsidP="00F237F0">
            <w:pPr>
              <w:spacing w:after="0" w:line="180" w:lineRule="exact"/>
              <w:jc w:val="center"/>
              <w:rPr>
                <w:rFonts w:ascii="GalanoGrotesque-Medium" w:hAnsi="GalanoGrotesque-Medium" w:cs="Arial"/>
                <w:b/>
                <w:bCs/>
                <w:color w:val="000000"/>
                <w:sz w:val="18"/>
                <w:szCs w:val="18"/>
                <w:lang w:eastAsia="es-MX"/>
              </w:rPr>
            </w:pPr>
            <w:r w:rsidRPr="001E7327">
              <w:rPr>
                <w:rFonts w:ascii="GalanoGrotesque-Medium" w:hAnsi="GalanoGrotesque-Medium" w:cs="Arial"/>
                <w:b/>
                <w:bCs/>
                <w:color w:val="000000"/>
                <w:sz w:val="18"/>
                <w:szCs w:val="18"/>
                <w:lang w:eastAsia="es-MX"/>
              </w:rPr>
              <w:t>EJES DE GOBERNANZA</w:t>
            </w:r>
          </w:p>
        </w:tc>
        <w:tc>
          <w:tcPr>
            <w:tcW w:w="3119" w:type="dxa"/>
            <w:vMerge w:val="restart"/>
            <w:tcBorders>
              <w:top w:val="nil"/>
              <w:left w:val="single" w:sz="8" w:space="0" w:color="auto"/>
              <w:bottom w:val="single" w:sz="8" w:space="0" w:color="000000"/>
              <w:right w:val="single" w:sz="8" w:space="0" w:color="auto"/>
            </w:tcBorders>
            <w:shd w:val="clear" w:color="000000" w:fill="F79646"/>
            <w:noWrap/>
            <w:vAlign w:val="center"/>
            <w:hideMark/>
          </w:tcPr>
          <w:p w14:paraId="4EC8CEEA" w14:textId="77777777" w:rsidR="006A5968" w:rsidRPr="001E7327" w:rsidRDefault="006A5968" w:rsidP="00F237F0">
            <w:pPr>
              <w:spacing w:after="0" w:line="180" w:lineRule="exact"/>
              <w:jc w:val="center"/>
              <w:rPr>
                <w:rFonts w:ascii="GalanoGrotesque-Medium" w:hAnsi="GalanoGrotesque-Medium" w:cs="Arial"/>
                <w:b/>
                <w:bCs/>
                <w:color w:val="000000"/>
                <w:sz w:val="18"/>
                <w:szCs w:val="18"/>
                <w:lang w:eastAsia="es-MX"/>
              </w:rPr>
            </w:pPr>
            <w:r w:rsidRPr="001E7327">
              <w:rPr>
                <w:rFonts w:ascii="GalanoGrotesque-Medium" w:hAnsi="GalanoGrotesque-Medium" w:cs="Arial"/>
                <w:b/>
                <w:bCs/>
                <w:color w:val="000000"/>
                <w:sz w:val="18"/>
                <w:szCs w:val="18"/>
                <w:lang w:eastAsia="es-MX"/>
              </w:rPr>
              <w:t xml:space="preserve">PLADIEM </w:t>
            </w:r>
          </w:p>
        </w:tc>
        <w:tc>
          <w:tcPr>
            <w:tcW w:w="3939" w:type="dxa"/>
            <w:vMerge w:val="restart"/>
            <w:tcBorders>
              <w:top w:val="nil"/>
              <w:left w:val="single" w:sz="8" w:space="0" w:color="auto"/>
              <w:bottom w:val="single" w:sz="8" w:space="0" w:color="000000"/>
              <w:right w:val="single" w:sz="8" w:space="0" w:color="auto"/>
            </w:tcBorders>
            <w:shd w:val="clear" w:color="000000" w:fill="C5D9F1"/>
            <w:noWrap/>
            <w:vAlign w:val="center"/>
            <w:hideMark/>
          </w:tcPr>
          <w:p w14:paraId="08B6D755" w14:textId="77777777" w:rsidR="006A5968" w:rsidRPr="001E7327" w:rsidRDefault="006A5968" w:rsidP="00F237F0">
            <w:pPr>
              <w:spacing w:after="0" w:line="180" w:lineRule="exact"/>
              <w:jc w:val="center"/>
              <w:rPr>
                <w:rFonts w:ascii="GalanoGrotesque-Medium" w:hAnsi="GalanoGrotesque-Medium" w:cs="Arial"/>
                <w:b/>
                <w:bCs/>
                <w:color w:val="000000"/>
                <w:sz w:val="18"/>
                <w:szCs w:val="18"/>
                <w:lang w:eastAsia="es-MX"/>
              </w:rPr>
            </w:pPr>
            <w:r w:rsidRPr="001E7327">
              <w:rPr>
                <w:rFonts w:ascii="GalanoGrotesque-Medium" w:hAnsi="GalanoGrotesque-Medium" w:cs="Arial"/>
                <w:b/>
                <w:bCs/>
                <w:color w:val="000000"/>
                <w:sz w:val="18"/>
                <w:szCs w:val="18"/>
                <w:lang w:eastAsia="es-MX"/>
              </w:rPr>
              <w:t>ODS</w:t>
            </w:r>
          </w:p>
        </w:tc>
      </w:tr>
      <w:tr w:rsidR="006A5968" w:rsidRPr="001E7327" w14:paraId="1C5318F3" w14:textId="77777777" w:rsidTr="00475B98">
        <w:trPr>
          <w:trHeight w:val="521"/>
        </w:trPr>
        <w:tc>
          <w:tcPr>
            <w:tcW w:w="1893" w:type="dxa"/>
            <w:vMerge/>
            <w:tcBorders>
              <w:top w:val="nil"/>
              <w:left w:val="single" w:sz="8" w:space="0" w:color="auto"/>
              <w:bottom w:val="single" w:sz="8" w:space="0" w:color="000000"/>
              <w:right w:val="single" w:sz="8" w:space="0" w:color="auto"/>
            </w:tcBorders>
            <w:vAlign w:val="center"/>
            <w:hideMark/>
          </w:tcPr>
          <w:p w14:paraId="768FBBBF" w14:textId="77777777" w:rsidR="006A5968" w:rsidRPr="001E7327" w:rsidRDefault="006A5968" w:rsidP="002034DC">
            <w:pPr>
              <w:rPr>
                <w:rFonts w:ascii="GalanoGrotesque-Medium" w:hAnsi="GalanoGrotesque-Medium" w:cs="Arial"/>
                <w:b/>
                <w:bCs/>
                <w:color w:val="000000"/>
                <w:sz w:val="18"/>
                <w:szCs w:val="18"/>
                <w:lang w:eastAsia="es-MX"/>
              </w:rPr>
            </w:pPr>
          </w:p>
        </w:tc>
        <w:tc>
          <w:tcPr>
            <w:tcW w:w="1875" w:type="dxa"/>
            <w:gridSpan w:val="3"/>
            <w:vMerge/>
            <w:tcBorders>
              <w:top w:val="single" w:sz="8" w:space="0" w:color="auto"/>
              <w:left w:val="single" w:sz="8" w:space="0" w:color="auto"/>
              <w:bottom w:val="single" w:sz="8" w:space="0" w:color="000000"/>
              <w:right w:val="single" w:sz="8" w:space="0" w:color="000000"/>
            </w:tcBorders>
            <w:vAlign w:val="center"/>
            <w:hideMark/>
          </w:tcPr>
          <w:p w14:paraId="0322811B" w14:textId="77777777" w:rsidR="006A5968" w:rsidRPr="001E7327" w:rsidRDefault="006A5968" w:rsidP="002034DC">
            <w:pPr>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5DBF9FE1" w14:textId="77777777" w:rsidR="006A5968" w:rsidRPr="001E7327" w:rsidRDefault="006A5968" w:rsidP="002034DC">
            <w:pPr>
              <w:rPr>
                <w:rFonts w:ascii="GalanoGrotesque-Medium" w:hAnsi="GalanoGrotesque-Medium" w:cs="Arial"/>
                <w:b/>
                <w:bCs/>
                <w:color w:val="000000"/>
                <w:sz w:val="18"/>
                <w:szCs w:val="18"/>
                <w:lang w:eastAsia="es-MX"/>
              </w:rPr>
            </w:pPr>
          </w:p>
        </w:tc>
        <w:tc>
          <w:tcPr>
            <w:tcW w:w="3939" w:type="dxa"/>
            <w:vMerge/>
            <w:tcBorders>
              <w:top w:val="nil"/>
              <w:left w:val="single" w:sz="8" w:space="0" w:color="auto"/>
              <w:bottom w:val="single" w:sz="8" w:space="0" w:color="000000"/>
              <w:right w:val="single" w:sz="8" w:space="0" w:color="auto"/>
            </w:tcBorders>
            <w:vAlign w:val="center"/>
            <w:hideMark/>
          </w:tcPr>
          <w:p w14:paraId="1B6567FD" w14:textId="77777777" w:rsidR="006A5968" w:rsidRPr="001E7327" w:rsidRDefault="006A5968" w:rsidP="002034DC">
            <w:pPr>
              <w:rPr>
                <w:rFonts w:ascii="GalanoGrotesque-Medium" w:hAnsi="GalanoGrotesque-Medium" w:cs="Arial"/>
                <w:b/>
                <w:bCs/>
                <w:color w:val="000000"/>
                <w:sz w:val="18"/>
                <w:szCs w:val="18"/>
                <w:lang w:eastAsia="es-MX"/>
              </w:rPr>
            </w:pPr>
          </w:p>
        </w:tc>
      </w:tr>
      <w:tr w:rsidR="006A5968" w:rsidRPr="001E7327" w14:paraId="255EB289" w14:textId="77777777" w:rsidTr="006A5968">
        <w:trPr>
          <w:trHeight w:val="262"/>
        </w:trPr>
        <w:tc>
          <w:tcPr>
            <w:tcW w:w="18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AF0D30E" w14:textId="77777777" w:rsidR="006A5968" w:rsidRPr="00774AEF" w:rsidRDefault="006A5968" w:rsidP="006A5968">
            <w:pPr>
              <w:spacing w:after="0" w:line="200" w:lineRule="atLeast"/>
              <w:rPr>
                <w:rFonts w:ascii="GalanoGrotesque-Medium" w:hAnsi="GalanoGrotesque-Medium" w:cs="Arial"/>
                <w:bCs/>
                <w:color w:val="000000"/>
                <w:sz w:val="18"/>
                <w:szCs w:val="18"/>
                <w:lang w:eastAsia="es-MX"/>
              </w:rPr>
            </w:pPr>
            <w:r w:rsidRPr="00774AEF">
              <w:rPr>
                <w:rFonts w:ascii="GalanoGrotesque-Medium" w:hAnsi="GalanoGrotesque-Medium" w:cs="Arial"/>
                <w:bCs/>
                <w:color w:val="000000"/>
                <w:sz w:val="18"/>
                <w:szCs w:val="18"/>
                <w:lang w:eastAsia="es-MX"/>
              </w:rPr>
              <w:t>I. México en Paz</w:t>
            </w:r>
          </w:p>
        </w:tc>
        <w:tc>
          <w:tcPr>
            <w:tcW w:w="625" w:type="dxa"/>
            <w:tcBorders>
              <w:top w:val="nil"/>
              <w:left w:val="nil"/>
              <w:bottom w:val="nil"/>
              <w:right w:val="single" w:sz="8" w:space="0" w:color="auto"/>
            </w:tcBorders>
            <w:shd w:val="clear" w:color="000000" w:fill="FFFFFF"/>
            <w:noWrap/>
            <w:vAlign w:val="center"/>
            <w:hideMark/>
          </w:tcPr>
          <w:p w14:paraId="43DDA371"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r w:rsidRPr="00774AEF">
              <w:rPr>
                <w:rFonts w:ascii="Calibri" w:hAnsi="Calibri" w:cs="Calibri"/>
                <w:b/>
                <w:bCs/>
                <w:color w:val="000000"/>
                <w:sz w:val="18"/>
                <w:szCs w:val="18"/>
                <w:lang w:eastAsia="es-MX"/>
              </w:rPr>
              <w:t> </w:t>
            </w:r>
          </w:p>
        </w:tc>
        <w:tc>
          <w:tcPr>
            <w:tcW w:w="625" w:type="dxa"/>
            <w:vMerge w:val="restart"/>
            <w:tcBorders>
              <w:top w:val="nil"/>
              <w:left w:val="single" w:sz="8" w:space="0" w:color="auto"/>
              <w:bottom w:val="single" w:sz="8" w:space="0" w:color="000000"/>
              <w:right w:val="single" w:sz="8" w:space="0" w:color="auto"/>
            </w:tcBorders>
            <w:shd w:val="clear" w:color="000000" w:fill="FFFFFF"/>
            <w:noWrap/>
            <w:textDirection w:val="btLr"/>
            <w:vAlign w:val="center"/>
            <w:hideMark/>
          </w:tcPr>
          <w:p w14:paraId="28D3FA59" w14:textId="77777777" w:rsidR="006A5968" w:rsidRPr="00774AEF" w:rsidRDefault="006A5968" w:rsidP="006A5968">
            <w:pPr>
              <w:spacing w:after="0" w:line="200" w:lineRule="atLeast"/>
              <w:jc w:val="center"/>
              <w:rPr>
                <w:rFonts w:ascii="GalanoGrotesque-Medium" w:hAnsi="GalanoGrotesque-Medium" w:cs="Arial"/>
                <w:b/>
                <w:bCs/>
                <w:color w:val="000000"/>
                <w:sz w:val="18"/>
                <w:szCs w:val="18"/>
                <w:lang w:eastAsia="es-MX"/>
              </w:rPr>
            </w:pPr>
            <w:r w:rsidRPr="00774AEF">
              <w:rPr>
                <w:rFonts w:ascii="GalanoGrotesque-Medium" w:hAnsi="GalanoGrotesque-Medium" w:cs="Arial"/>
                <w:b/>
                <w:bCs/>
                <w:color w:val="000000"/>
                <w:sz w:val="18"/>
                <w:szCs w:val="18"/>
                <w:lang w:eastAsia="es-MX"/>
              </w:rPr>
              <w:t xml:space="preserve">Educación con Calidad </w:t>
            </w:r>
          </w:p>
        </w:tc>
        <w:tc>
          <w:tcPr>
            <w:tcW w:w="625" w:type="dxa"/>
            <w:vMerge w:val="restart"/>
            <w:tcBorders>
              <w:top w:val="nil"/>
              <w:left w:val="single" w:sz="8" w:space="0" w:color="auto"/>
              <w:bottom w:val="single" w:sz="8" w:space="0" w:color="000000"/>
              <w:right w:val="single" w:sz="8" w:space="0" w:color="auto"/>
            </w:tcBorders>
            <w:shd w:val="clear" w:color="000000" w:fill="FFFFFF"/>
            <w:noWrap/>
            <w:textDirection w:val="btLr"/>
            <w:vAlign w:val="center"/>
            <w:hideMark/>
          </w:tcPr>
          <w:p w14:paraId="6737E911" w14:textId="77777777" w:rsidR="006A5968" w:rsidRPr="00774AEF" w:rsidRDefault="006A5968" w:rsidP="006A5968">
            <w:pPr>
              <w:spacing w:after="0" w:line="200" w:lineRule="atLeast"/>
              <w:jc w:val="center"/>
              <w:rPr>
                <w:rFonts w:ascii="GalanoGrotesque-Medium" w:hAnsi="GalanoGrotesque-Medium" w:cs="Arial"/>
                <w:b/>
                <w:bCs/>
                <w:color w:val="000000"/>
                <w:sz w:val="18"/>
                <w:szCs w:val="18"/>
                <w:lang w:eastAsia="es-MX"/>
              </w:rPr>
            </w:pPr>
            <w:r w:rsidRPr="00774AEF">
              <w:rPr>
                <w:rFonts w:ascii="GalanoGrotesque-Medium" w:hAnsi="GalanoGrotesque-Medium" w:cs="Arial"/>
                <w:b/>
                <w:bCs/>
                <w:color w:val="000000"/>
                <w:sz w:val="18"/>
                <w:szCs w:val="18"/>
                <w:lang w:eastAsia="es-MX"/>
              </w:rPr>
              <w:t xml:space="preserve">Finanzas Sanas </w:t>
            </w:r>
          </w:p>
        </w:tc>
        <w:tc>
          <w:tcPr>
            <w:tcW w:w="31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6F52EFA" w14:textId="77777777" w:rsidR="006A5968" w:rsidRPr="00774AEF" w:rsidRDefault="006A5968" w:rsidP="006A5968">
            <w:pPr>
              <w:spacing w:after="0" w:line="18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 xml:space="preserve">3. Prevención del delito. </w:t>
            </w:r>
          </w:p>
        </w:tc>
        <w:tc>
          <w:tcPr>
            <w:tcW w:w="3939" w:type="dxa"/>
            <w:tcBorders>
              <w:top w:val="nil"/>
              <w:left w:val="nil"/>
              <w:bottom w:val="single" w:sz="8" w:space="0" w:color="auto"/>
              <w:right w:val="single" w:sz="8" w:space="0" w:color="auto"/>
            </w:tcBorders>
            <w:shd w:val="clear" w:color="000000" w:fill="FFFFFF"/>
            <w:vAlign w:val="center"/>
            <w:hideMark/>
          </w:tcPr>
          <w:p w14:paraId="67182C0C" w14:textId="77777777" w:rsidR="006A5968" w:rsidRPr="00774AEF" w:rsidRDefault="006A5968" w:rsidP="006A5968">
            <w:pPr>
              <w:spacing w:after="0" w:line="180" w:lineRule="exac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 xml:space="preserve">O16: Paz, justicia e instituciones fuertes </w:t>
            </w:r>
          </w:p>
        </w:tc>
      </w:tr>
      <w:tr w:rsidR="006A5968" w:rsidRPr="001E7327" w14:paraId="5533313C" w14:textId="77777777" w:rsidTr="006A5968">
        <w:trPr>
          <w:trHeight w:val="251"/>
        </w:trPr>
        <w:tc>
          <w:tcPr>
            <w:tcW w:w="1893" w:type="dxa"/>
            <w:vMerge/>
            <w:tcBorders>
              <w:top w:val="nil"/>
              <w:left w:val="single" w:sz="8" w:space="0" w:color="auto"/>
              <w:bottom w:val="single" w:sz="8" w:space="0" w:color="000000"/>
              <w:right w:val="single" w:sz="8" w:space="0" w:color="auto"/>
            </w:tcBorders>
            <w:vAlign w:val="center"/>
            <w:hideMark/>
          </w:tcPr>
          <w:p w14:paraId="3CF3F402"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val="restart"/>
            <w:tcBorders>
              <w:top w:val="nil"/>
              <w:left w:val="single" w:sz="8" w:space="0" w:color="auto"/>
              <w:bottom w:val="single" w:sz="8" w:space="0" w:color="000000"/>
              <w:right w:val="single" w:sz="8" w:space="0" w:color="auto"/>
            </w:tcBorders>
            <w:shd w:val="clear" w:color="000000" w:fill="FFFFFF"/>
            <w:noWrap/>
            <w:textDirection w:val="btLr"/>
            <w:vAlign w:val="center"/>
            <w:hideMark/>
          </w:tcPr>
          <w:p w14:paraId="75E4BA14" w14:textId="77777777" w:rsidR="006A5968" w:rsidRPr="00774AEF" w:rsidRDefault="006A5968" w:rsidP="006A5968">
            <w:pPr>
              <w:spacing w:after="0" w:line="200" w:lineRule="atLeast"/>
              <w:ind w:left="113" w:right="113"/>
              <w:jc w:val="center"/>
              <w:rPr>
                <w:rFonts w:ascii="GalanoGrotesque-Medium" w:hAnsi="GalanoGrotesque-Medium" w:cs="Arial"/>
                <w:b/>
                <w:bCs/>
                <w:color w:val="000000"/>
                <w:sz w:val="18"/>
                <w:szCs w:val="18"/>
                <w:lang w:eastAsia="es-MX"/>
              </w:rPr>
            </w:pPr>
            <w:r w:rsidRPr="00774AEF">
              <w:rPr>
                <w:rFonts w:ascii="GalanoGrotesque-Medium" w:hAnsi="GalanoGrotesque-Medium" w:cs="Arial"/>
                <w:b/>
                <w:bCs/>
                <w:color w:val="000000"/>
                <w:sz w:val="18"/>
                <w:szCs w:val="18"/>
                <w:lang w:eastAsia="es-MX"/>
              </w:rPr>
              <w:t xml:space="preserve">Seguridad </w:t>
            </w:r>
          </w:p>
        </w:tc>
        <w:tc>
          <w:tcPr>
            <w:tcW w:w="625" w:type="dxa"/>
            <w:vMerge/>
            <w:tcBorders>
              <w:top w:val="nil"/>
              <w:left w:val="single" w:sz="8" w:space="0" w:color="auto"/>
              <w:bottom w:val="single" w:sz="8" w:space="0" w:color="000000"/>
              <w:right w:val="single" w:sz="8" w:space="0" w:color="auto"/>
            </w:tcBorders>
            <w:vAlign w:val="center"/>
            <w:hideMark/>
          </w:tcPr>
          <w:p w14:paraId="62C38ACC"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02B0A5EE"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4DDA4B90" w14:textId="77777777" w:rsidR="006A5968" w:rsidRPr="00774AEF" w:rsidRDefault="006A5968" w:rsidP="006A5968">
            <w:pPr>
              <w:spacing w:after="0" w:line="180" w:lineRule="atLeast"/>
              <w:rPr>
                <w:rFonts w:ascii="GalanoGrotesque-Medium" w:hAnsi="GalanoGrotesque-Medium" w:cs="Arial"/>
                <w:color w:val="000000"/>
                <w:sz w:val="18"/>
                <w:szCs w:val="18"/>
                <w:lang w:eastAsia="es-MX"/>
              </w:rPr>
            </w:pPr>
          </w:p>
        </w:tc>
        <w:tc>
          <w:tcPr>
            <w:tcW w:w="3939" w:type="dxa"/>
            <w:tcBorders>
              <w:top w:val="nil"/>
              <w:left w:val="nil"/>
              <w:bottom w:val="single" w:sz="8" w:space="0" w:color="auto"/>
              <w:right w:val="single" w:sz="8" w:space="0" w:color="auto"/>
            </w:tcBorders>
            <w:shd w:val="clear" w:color="000000" w:fill="FFFFFF"/>
            <w:vAlign w:val="center"/>
            <w:hideMark/>
          </w:tcPr>
          <w:p w14:paraId="4A91C4AE" w14:textId="77777777" w:rsidR="006A5968" w:rsidRPr="00774AEF" w:rsidRDefault="006A5968" w:rsidP="006A5968">
            <w:pPr>
              <w:spacing w:after="0" w:line="180" w:lineRule="exac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O17: Alianza para lograr los objetivos</w:t>
            </w:r>
          </w:p>
        </w:tc>
      </w:tr>
      <w:tr w:rsidR="006A5968" w:rsidRPr="001E7327" w14:paraId="0F0ECDDE" w14:textId="77777777" w:rsidTr="006A5968">
        <w:trPr>
          <w:trHeight w:val="479"/>
        </w:trPr>
        <w:tc>
          <w:tcPr>
            <w:tcW w:w="1893" w:type="dxa"/>
            <w:vMerge/>
            <w:tcBorders>
              <w:top w:val="nil"/>
              <w:left w:val="single" w:sz="8" w:space="0" w:color="auto"/>
              <w:bottom w:val="single" w:sz="8" w:space="0" w:color="000000"/>
              <w:right w:val="single" w:sz="8" w:space="0" w:color="auto"/>
            </w:tcBorders>
            <w:vAlign w:val="center"/>
            <w:hideMark/>
          </w:tcPr>
          <w:p w14:paraId="27F4A576"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6F7C7176"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1419B4A8"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39343D04"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4158DD5" w14:textId="77777777" w:rsidR="006A5968" w:rsidRPr="00774AEF" w:rsidRDefault="006A5968" w:rsidP="006A5968">
            <w:pPr>
              <w:spacing w:after="0" w:line="16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2. Tranquilidad justicia y paz.</w:t>
            </w:r>
          </w:p>
        </w:tc>
        <w:tc>
          <w:tcPr>
            <w:tcW w:w="393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EEF3E0" w14:textId="77777777" w:rsidR="006A5968" w:rsidRPr="00774AEF" w:rsidRDefault="006A5968" w:rsidP="006A5968">
            <w:pPr>
              <w:spacing w:after="0" w:line="180" w:lineRule="exac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O16: Paz, justicia e instituciones sólidas</w:t>
            </w:r>
          </w:p>
        </w:tc>
      </w:tr>
      <w:tr w:rsidR="006A5968" w:rsidRPr="001E7327" w14:paraId="3E8855BF" w14:textId="77777777" w:rsidTr="006A5968">
        <w:trPr>
          <w:trHeight w:val="279"/>
        </w:trPr>
        <w:tc>
          <w:tcPr>
            <w:tcW w:w="1893" w:type="dxa"/>
            <w:vMerge/>
            <w:tcBorders>
              <w:top w:val="nil"/>
              <w:left w:val="single" w:sz="8" w:space="0" w:color="auto"/>
              <w:bottom w:val="single" w:sz="8" w:space="0" w:color="000000"/>
              <w:right w:val="single" w:sz="8" w:space="0" w:color="auto"/>
            </w:tcBorders>
            <w:vAlign w:val="center"/>
            <w:hideMark/>
          </w:tcPr>
          <w:p w14:paraId="45FC69EE"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7F78B6B5"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5506497F"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6D3E5DD5"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0CA2A646"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vMerge/>
            <w:tcBorders>
              <w:top w:val="nil"/>
              <w:left w:val="single" w:sz="8" w:space="0" w:color="auto"/>
              <w:bottom w:val="single" w:sz="8" w:space="0" w:color="000000"/>
              <w:right w:val="single" w:sz="8" w:space="0" w:color="auto"/>
            </w:tcBorders>
            <w:vAlign w:val="center"/>
            <w:hideMark/>
          </w:tcPr>
          <w:p w14:paraId="56D18280" w14:textId="77777777" w:rsidR="006A5968" w:rsidRPr="00774AEF" w:rsidRDefault="006A5968" w:rsidP="006A5968">
            <w:pPr>
              <w:spacing w:after="0" w:line="200" w:lineRule="atLeast"/>
              <w:rPr>
                <w:rFonts w:ascii="GalanoGrotesque-Medium" w:hAnsi="GalanoGrotesque-Medium"/>
                <w:color w:val="000000"/>
                <w:sz w:val="18"/>
                <w:szCs w:val="18"/>
                <w:lang w:eastAsia="es-MX"/>
              </w:rPr>
            </w:pPr>
          </w:p>
        </w:tc>
      </w:tr>
      <w:tr w:rsidR="006A5968" w:rsidRPr="001E7327" w14:paraId="12F26AA1" w14:textId="77777777" w:rsidTr="006A5968">
        <w:trPr>
          <w:trHeight w:val="298"/>
        </w:trPr>
        <w:tc>
          <w:tcPr>
            <w:tcW w:w="18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F4E53C9" w14:textId="77777777" w:rsidR="006A5968" w:rsidRPr="00774AEF" w:rsidRDefault="006A5968" w:rsidP="006A5968">
            <w:pPr>
              <w:spacing w:after="0" w:line="200" w:lineRule="atLeast"/>
              <w:rPr>
                <w:rFonts w:ascii="GalanoGrotesque-Medium" w:hAnsi="GalanoGrotesque-Medium" w:cs="Arial"/>
                <w:bCs/>
                <w:color w:val="000000"/>
                <w:sz w:val="18"/>
                <w:szCs w:val="18"/>
                <w:lang w:eastAsia="es-MX"/>
              </w:rPr>
            </w:pPr>
            <w:r w:rsidRPr="00774AEF">
              <w:rPr>
                <w:rFonts w:ascii="GalanoGrotesque-Medium" w:hAnsi="GalanoGrotesque-Medium" w:cs="Arial"/>
                <w:bCs/>
                <w:color w:val="000000"/>
                <w:sz w:val="18"/>
                <w:szCs w:val="18"/>
                <w:lang w:eastAsia="es-MX"/>
              </w:rPr>
              <w:t>II. México Incluyente</w:t>
            </w:r>
          </w:p>
        </w:tc>
        <w:tc>
          <w:tcPr>
            <w:tcW w:w="625" w:type="dxa"/>
            <w:vMerge/>
            <w:tcBorders>
              <w:top w:val="nil"/>
              <w:left w:val="single" w:sz="8" w:space="0" w:color="auto"/>
              <w:bottom w:val="single" w:sz="8" w:space="0" w:color="000000"/>
              <w:right w:val="single" w:sz="8" w:space="0" w:color="auto"/>
            </w:tcBorders>
            <w:vAlign w:val="center"/>
            <w:hideMark/>
          </w:tcPr>
          <w:p w14:paraId="4AF0FFDD"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1A94A3D2"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535D5D4B"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FD0F451"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 xml:space="preserve">5. Cubrir las necesidades básicas y promover la inclusión de los más necesitados. </w:t>
            </w:r>
          </w:p>
        </w:tc>
        <w:tc>
          <w:tcPr>
            <w:tcW w:w="3939" w:type="dxa"/>
            <w:tcBorders>
              <w:top w:val="nil"/>
              <w:left w:val="nil"/>
              <w:bottom w:val="single" w:sz="8" w:space="0" w:color="auto"/>
              <w:right w:val="single" w:sz="8" w:space="0" w:color="auto"/>
            </w:tcBorders>
            <w:shd w:val="clear" w:color="000000" w:fill="FFFFFF"/>
            <w:vAlign w:val="center"/>
            <w:hideMark/>
          </w:tcPr>
          <w:p w14:paraId="4E399ABF"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 xml:space="preserve">O1: Fin de la pobreza </w:t>
            </w:r>
          </w:p>
        </w:tc>
      </w:tr>
      <w:tr w:rsidR="006A5968" w:rsidRPr="001E7327" w14:paraId="4C0D4F26" w14:textId="77777777" w:rsidTr="006A5968">
        <w:trPr>
          <w:trHeight w:val="284"/>
        </w:trPr>
        <w:tc>
          <w:tcPr>
            <w:tcW w:w="1893" w:type="dxa"/>
            <w:vMerge/>
            <w:tcBorders>
              <w:top w:val="nil"/>
              <w:left w:val="single" w:sz="8" w:space="0" w:color="auto"/>
              <w:bottom w:val="single" w:sz="8" w:space="0" w:color="000000"/>
              <w:right w:val="single" w:sz="8" w:space="0" w:color="auto"/>
            </w:tcBorders>
            <w:vAlign w:val="center"/>
            <w:hideMark/>
          </w:tcPr>
          <w:p w14:paraId="78F162C6"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5F674049"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171A2230"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609E53F7"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35082457"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nil"/>
              <w:bottom w:val="single" w:sz="8" w:space="0" w:color="auto"/>
              <w:right w:val="single" w:sz="8" w:space="0" w:color="auto"/>
            </w:tcBorders>
            <w:shd w:val="clear" w:color="000000" w:fill="FFFFFF"/>
            <w:vAlign w:val="center"/>
            <w:hideMark/>
          </w:tcPr>
          <w:p w14:paraId="1466EFE1"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O2: Hambre Cero</w:t>
            </w:r>
          </w:p>
        </w:tc>
      </w:tr>
      <w:tr w:rsidR="006A5968" w:rsidRPr="001E7327" w14:paraId="49D9334D" w14:textId="77777777" w:rsidTr="006A5968">
        <w:trPr>
          <w:trHeight w:val="185"/>
        </w:trPr>
        <w:tc>
          <w:tcPr>
            <w:tcW w:w="1893" w:type="dxa"/>
            <w:vMerge/>
            <w:tcBorders>
              <w:top w:val="nil"/>
              <w:left w:val="single" w:sz="8" w:space="0" w:color="auto"/>
              <w:bottom w:val="single" w:sz="8" w:space="0" w:color="000000"/>
              <w:right w:val="single" w:sz="8" w:space="0" w:color="auto"/>
            </w:tcBorders>
            <w:vAlign w:val="center"/>
            <w:hideMark/>
          </w:tcPr>
          <w:p w14:paraId="35A2386D"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2B5B7C59"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6FBE387F"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6F8A5BFE"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9F802DB"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 xml:space="preserve">8. Cohesión social e igualdad sustantiva. </w:t>
            </w:r>
          </w:p>
        </w:tc>
        <w:tc>
          <w:tcPr>
            <w:tcW w:w="3939" w:type="dxa"/>
            <w:tcBorders>
              <w:top w:val="nil"/>
              <w:left w:val="nil"/>
              <w:bottom w:val="single" w:sz="8" w:space="0" w:color="auto"/>
              <w:right w:val="single" w:sz="8" w:space="0" w:color="auto"/>
            </w:tcBorders>
            <w:shd w:val="clear" w:color="000000" w:fill="FFFFFF"/>
            <w:vAlign w:val="center"/>
            <w:hideMark/>
          </w:tcPr>
          <w:p w14:paraId="2A924E79"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 xml:space="preserve">O5: Igualdad de género </w:t>
            </w:r>
          </w:p>
        </w:tc>
      </w:tr>
      <w:tr w:rsidR="006A5968" w:rsidRPr="001E7327" w14:paraId="38623BA4" w14:textId="77777777" w:rsidTr="006A5968">
        <w:trPr>
          <w:trHeight w:val="82"/>
        </w:trPr>
        <w:tc>
          <w:tcPr>
            <w:tcW w:w="1893" w:type="dxa"/>
            <w:vMerge/>
            <w:tcBorders>
              <w:top w:val="nil"/>
              <w:left w:val="single" w:sz="8" w:space="0" w:color="auto"/>
              <w:bottom w:val="single" w:sz="8" w:space="0" w:color="000000"/>
              <w:right w:val="single" w:sz="8" w:space="0" w:color="auto"/>
            </w:tcBorders>
            <w:vAlign w:val="center"/>
            <w:hideMark/>
          </w:tcPr>
          <w:p w14:paraId="2C91E56B"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741B088B"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4C23B20F"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1072C324"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1DB4FFD1"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nil"/>
              <w:bottom w:val="single" w:sz="8" w:space="0" w:color="auto"/>
              <w:right w:val="single" w:sz="8" w:space="0" w:color="auto"/>
            </w:tcBorders>
            <w:shd w:val="clear" w:color="000000" w:fill="FFFFFF"/>
            <w:vAlign w:val="center"/>
            <w:hideMark/>
          </w:tcPr>
          <w:p w14:paraId="43C6B032"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O10: Reducción de las desigualdades</w:t>
            </w:r>
          </w:p>
        </w:tc>
      </w:tr>
      <w:tr w:rsidR="006A5968" w:rsidRPr="001E7327" w14:paraId="732AC3F4" w14:textId="77777777" w:rsidTr="006A5968">
        <w:trPr>
          <w:trHeight w:val="308"/>
        </w:trPr>
        <w:tc>
          <w:tcPr>
            <w:tcW w:w="1893" w:type="dxa"/>
            <w:vMerge/>
            <w:tcBorders>
              <w:top w:val="nil"/>
              <w:left w:val="single" w:sz="8" w:space="0" w:color="auto"/>
              <w:bottom w:val="single" w:sz="8" w:space="0" w:color="000000"/>
              <w:right w:val="single" w:sz="8" w:space="0" w:color="auto"/>
            </w:tcBorders>
            <w:vAlign w:val="center"/>
            <w:hideMark/>
          </w:tcPr>
          <w:p w14:paraId="2B96D560"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548492B3"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7CFCBA29"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067EAEA2"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4FE3A84"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1. Desarrollo humano, educación con calidad y acceso a la salud.</w:t>
            </w:r>
          </w:p>
        </w:tc>
        <w:tc>
          <w:tcPr>
            <w:tcW w:w="3939" w:type="dxa"/>
            <w:tcBorders>
              <w:top w:val="nil"/>
              <w:left w:val="nil"/>
              <w:bottom w:val="single" w:sz="8" w:space="0" w:color="auto"/>
              <w:right w:val="single" w:sz="8" w:space="0" w:color="auto"/>
            </w:tcBorders>
            <w:shd w:val="clear" w:color="000000" w:fill="FFFFFF"/>
            <w:vAlign w:val="center"/>
            <w:hideMark/>
          </w:tcPr>
          <w:p w14:paraId="6817C699"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 xml:space="preserve">O3: Salud y bienestar  </w:t>
            </w:r>
          </w:p>
        </w:tc>
      </w:tr>
      <w:tr w:rsidR="006A5968" w:rsidRPr="001E7327" w14:paraId="5E4E6E6C" w14:textId="77777777" w:rsidTr="006A5968">
        <w:trPr>
          <w:trHeight w:val="42"/>
        </w:trPr>
        <w:tc>
          <w:tcPr>
            <w:tcW w:w="1893" w:type="dxa"/>
            <w:vMerge/>
            <w:tcBorders>
              <w:top w:val="nil"/>
              <w:left w:val="single" w:sz="8" w:space="0" w:color="auto"/>
              <w:bottom w:val="single" w:sz="8" w:space="0" w:color="000000"/>
              <w:right w:val="single" w:sz="8" w:space="0" w:color="auto"/>
            </w:tcBorders>
            <w:vAlign w:val="center"/>
            <w:hideMark/>
          </w:tcPr>
          <w:p w14:paraId="4AAC68D1"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533DF975"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0B97EE0D"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5E941574"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7207EDD6"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nil"/>
              <w:bottom w:val="single" w:sz="8" w:space="0" w:color="auto"/>
              <w:right w:val="single" w:sz="8" w:space="0" w:color="auto"/>
            </w:tcBorders>
            <w:shd w:val="clear" w:color="000000" w:fill="FFFFFF"/>
            <w:vAlign w:val="center"/>
            <w:hideMark/>
          </w:tcPr>
          <w:p w14:paraId="353C1DC2"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O4: Educación con calidad</w:t>
            </w:r>
          </w:p>
        </w:tc>
      </w:tr>
      <w:tr w:rsidR="006A5968" w:rsidRPr="001E7327" w14:paraId="68F5D55F" w14:textId="77777777" w:rsidTr="006A5968">
        <w:trPr>
          <w:trHeight w:val="226"/>
        </w:trPr>
        <w:tc>
          <w:tcPr>
            <w:tcW w:w="1893" w:type="dxa"/>
            <w:vMerge/>
            <w:tcBorders>
              <w:top w:val="nil"/>
              <w:left w:val="single" w:sz="8" w:space="0" w:color="auto"/>
              <w:bottom w:val="single" w:sz="8" w:space="0" w:color="000000"/>
              <w:right w:val="single" w:sz="8" w:space="0" w:color="auto"/>
            </w:tcBorders>
            <w:vAlign w:val="center"/>
            <w:hideMark/>
          </w:tcPr>
          <w:p w14:paraId="01EF0200"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492C6888"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47B2FB88"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38685DE2"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tcBorders>
              <w:top w:val="nil"/>
              <w:left w:val="nil"/>
              <w:bottom w:val="single" w:sz="8" w:space="0" w:color="auto"/>
              <w:right w:val="nil"/>
            </w:tcBorders>
            <w:shd w:val="clear" w:color="000000" w:fill="FFFFFF"/>
            <w:vAlign w:val="center"/>
            <w:hideMark/>
          </w:tcPr>
          <w:p w14:paraId="16E679E6"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 xml:space="preserve">9. </w:t>
            </w:r>
            <w:r>
              <w:rPr>
                <w:rFonts w:ascii="GalanoGrotesque-Medium" w:hAnsi="GalanoGrotesque-Medium" w:cs="Arial"/>
                <w:color w:val="000000"/>
                <w:sz w:val="18"/>
                <w:szCs w:val="18"/>
                <w:lang w:eastAsia="es-MX"/>
              </w:rPr>
              <w:t>R</w:t>
            </w:r>
            <w:r w:rsidRPr="00774AEF">
              <w:rPr>
                <w:rFonts w:ascii="GalanoGrotesque-Medium" w:hAnsi="GalanoGrotesque-Medium" w:cs="Arial"/>
                <w:color w:val="000000"/>
                <w:sz w:val="18"/>
                <w:szCs w:val="18"/>
                <w:lang w:eastAsia="es-MX"/>
              </w:rPr>
              <w:t xml:space="preserve">endición de cuentas transparencia y gobierno digital </w:t>
            </w:r>
          </w:p>
        </w:tc>
        <w:tc>
          <w:tcPr>
            <w:tcW w:w="3939" w:type="dxa"/>
            <w:tcBorders>
              <w:top w:val="nil"/>
              <w:left w:val="single" w:sz="8" w:space="0" w:color="auto"/>
              <w:bottom w:val="single" w:sz="8" w:space="0" w:color="auto"/>
              <w:right w:val="single" w:sz="8" w:space="0" w:color="auto"/>
            </w:tcBorders>
            <w:shd w:val="clear" w:color="000000" w:fill="FFFFFF"/>
            <w:vAlign w:val="center"/>
            <w:hideMark/>
          </w:tcPr>
          <w:p w14:paraId="22DF3B62"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O16: Paz, justicia e instituciones fuertes</w:t>
            </w:r>
          </w:p>
        </w:tc>
      </w:tr>
      <w:tr w:rsidR="006A5968" w:rsidRPr="001E7327" w14:paraId="76A04DA9" w14:textId="77777777" w:rsidTr="006A5968">
        <w:trPr>
          <w:trHeight w:val="352"/>
        </w:trPr>
        <w:tc>
          <w:tcPr>
            <w:tcW w:w="18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07953F"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III. México con Educación de Calidad</w:t>
            </w:r>
          </w:p>
        </w:tc>
        <w:tc>
          <w:tcPr>
            <w:tcW w:w="625" w:type="dxa"/>
            <w:vMerge/>
            <w:tcBorders>
              <w:top w:val="nil"/>
              <w:left w:val="single" w:sz="8" w:space="0" w:color="auto"/>
              <w:bottom w:val="single" w:sz="8" w:space="0" w:color="000000"/>
              <w:right w:val="single" w:sz="8" w:space="0" w:color="auto"/>
            </w:tcBorders>
            <w:vAlign w:val="center"/>
            <w:hideMark/>
          </w:tcPr>
          <w:p w14:paraId="4FF575C4"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16B3BEEA"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08AFE144"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E61A167"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 xml:space="preserve">3. Prevención del delito. </w:t>
            </w:r>
          </w:p>
        </w:tc>
        <w:tc>
          <w:tcPr>
            <w:tcW w:w="3939" w:type="dxa"/>
            <w:tcBorders>
              <w:top w:val="nil"/>
              <w:left w:val="nil"/>
              <w:bottom w:val="single" w:sz="8" w:space="0" w:color="auto"/>
              <w:right w:val="single" w:sz="8" w:space="0" w:color="auto"/>
            </w:tcBorders>
            <w:shd w:val="clear" w:color="000000" w:fill="FFFFFF"/>
            <w:vAlign w:val="center"/>
            <w:hideMark/>
          </w:tcPr>
          <w:p w14:paraId="6279D2FE"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 xml:space="preserve">O16: Paz, justicia e instituciones fuertes </w:t>
            </w:r>
          </w:p>
        </w:tc>
      </w:tr>
      <w:tr w:rsidR="006A5968" w:rsidRPr="001E7327" w14:paraId="0394B7B7" w14:textId="77777777" w:rsidTr="006A5968">
        <w:trPr>
          <w:trHeight w:val="352"/>
        </w:trPr>
        <w:tc>
          <w:tcPr>
            <w:tcW w:w="1893" w:type="dxa"/>
            <w:vMerge/>
            <w:tcBorders>
              <w:top w:val="nil"/>
              <w:left w:val="single" w:sz="8" w:space="0" w:color="auto"/>
              <w:bottom w:val="single" w:sz="8" w:space="0" w:color="000000"/>
              <w:right w:val="single" w:sz="8" w:space="0" w:color="auto"/>
            </w:tcBorders>
            <w:vAlign w:val="center"/>
            <w:hideMark/>
          </w:tcPr>
          <w:p w14:paraId="7ED0421A"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1684ED70"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04959D42"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7ABEAFF6"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0071590C"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nil"/>
              <w:bottom w:val="single" w:sz="8" w:space="0" w:color="auto"/>
              <w:right w:val="single" w:sz="8" w:space="0" w:color="auto"/>
            </w:tcBorders>
            <w:shd w:val="clear" w:color="000000" w:fill="FFFFFF"/>
            <w:vAlign w:val="center"/>
            <w:hideMark/>
          </w:tcPr>
          <w:p w14:paraId="1771CB66"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O17: Alianza para lograr los objetivos</w:t>
            </w:r>
          </w:p>
        </w:tc>
      </w:tr>
      <w:tr w:rsidR="006A5968" w:rsidRPr="001E7327" w14:paraId="7697302C" w14:textId="77777777" w:rsidTr="006A5968">
        <w:trPr>
          <w:trHeight w:val="170"/>
        </w:trPr>
        <w:tc>
          <w:tcPr>
            <w:tcW w:w="1893" w:type="dxa"/>
            <w:vMerge/>
            <w:tcBorders>
              <w:top w:val="nil"/>
              <w:left w:val="single" w:sz="8" w:space="0" w:color="auto"/>
              <w:bottom w:val="single" w:sz="8" w:space="0" w:color="000000"/>
              <w:right w:val="single" w:sz="8" w:space="0" w:color="auto"/>
            </w:tcBorders>
            <w:vAlign w:val="center"/>
            <w:hideMark/>
          </w:tcPr>
          <w:p w14:paraId="7B58942C"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10395662"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02B3A92C"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416DBFF8"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A6A75C6"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1. Desarrollo humano, educación con calidad y acceso a la salud.</w:t>
            </w:r>
          </w:p>
        </w:tc>
        <w:tc>
          <w:tcPr>
            <w:tcW w:w="3939" w:type="dxa"/>
            <w:tcBorders>
              <w:top w:val="nil"/>
              <w:left w:val="nil"/>
              <w:bottom w:val="single" w:sz="8" w:space="0" w:color="auto"/>
              <w:right w:val="single" w:sz="8" w:space="0" w:color="auto"/>
            </w:tcBorders>
            <w:shd w:val="clear" w:color="000000" w:fill="FFFFFF"/>
            <w:vAlign w:val="center"/>
            <w:hideMark/>
          </w:tcPr>
          <w:p w14:paraId="5134EDE4"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 xml:space="preserve">O3: Buena salud  </w:t>
            </w:r>
          </w:p>
        </w:tc>
      </w:tr>
      <w:tr w:rsidR="006A5968" w:rsidRPr="001E7327" w14:paraId="23837C59" w14:textId="77777777" w:rsidTr="006A5968">
        <w:trPr>
          <w:trHeight w:val="223"/>
        </w:trPr>
        <w:tc>
          <w:tcPr>
            <w:tcW w:w="1893" w:type="dxa"/>
            <w:vMerge/>
            <w:tcBorders>
              <w:top w:val="nil"/>
              <w:left w:val="single" w:sz="8" w:space="0" w:color="auto"/>
              <w:bottom w:val="single" w:sz="8" w:space="0" w:color="000000"/>
              <w:right w:val="single" w:sz="8" w:space="0" w:color="auto"/>
            </w:tcBorders>
            <w:vAlign w:val="center"/>
            <w:hideMark/>
          </w:tcPr>
          <w:p w14:paraId="211FFADA"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62E74234"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5CE3A9E4"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24F98A56"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143CDE69"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nil"/>
              <w:bottom w:val="single" w:sz="8" w:space="0" w:color="auto"/>
              <w:right w:val="single" w:sz="8" w:space="0" w:color="auto"/>
            </w:tcBorders>
            <w:shd w:val="clear" w:color="000000" w:fill="FFFFFF"/>
            <w:vAlign w:val="center"/>
            <w:hideMark/>
          </w:tcPr>
          <w:p w14:paraId="7E2D1B76"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O4: Educación de calidad</w:t>
            </w:r>
          </w:p>
        </w:tc>
      </w:tr>
      <w:tr w:rsidR="006A5968" w:rsidRPr="001E7327" w14:paraId="043889A8" w14:textId="77777777" w:rsidTr="006A5968">
        <w:trPr>
          <w:trHeight w:val="352"/>
        </w:trPr>
        <w:tc>
          <w:tcPr>
            <w:tcW w:w="1893"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6462D30"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IV. México Próspero</w:t>
            </w:r>
          </w:p>
        </w:tc>
        <w:tc>
          <w:tcPr>
            <w:tcW w:w="625" w:type="dxa"/>
            <w:vMerge/>
            <w:tcBorders>
              <w:top w:val="nil"/>
              <w:left w:val="single" w:sz="8" w:space="0" w:color="auto"/>
              <w:bottom w:val="single" w:sz="8" w:space="0" w:color="000000"/>
              <w:right w:val="single" w:sz="8" w:space="0" w:color="auto"/>
            </w:tcBorders>
            <w:vAlign w:val="center"/>
            <w:hideMark/>
          </w:tcPr>
          <w:p w14:paraId="4D404F85"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37378D4A"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69341FE7"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val="restart"/>
            <w:tcBorders>
              <w:top w:val="nil"/>
              <w:left w:val="nil"/>
              <w:right w:val="nil"/>
            </w:tcBorders>
            <w:shd w:val="clear" w:color="000000" w:fill="FFFFFF"/>
            <w:vAlign w:val="center"/>
            <w:hideMark/>
          </w:tcPr>
          <w:p w14:paraId="0FB8E0D3"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 xml:space="preserve">4. Desarrollo económico, inversión y empleo digno </w:t>
            </w:r>
          </w:p>
        </w:tc>
        <w:tc>
          <w:tcPr>
            <w:tcW w:w="3939" w:type="dxa"/>
            <w:tcBorders>
              <w:top w:val="nil"/>
              <w:left w:val="single" w:sz="8" w:space="0" w:color="auto"/>
              <w:bottom w:val="single" w:sz="8" w:space="0" w:color="auto"/>
              <w:right w:val="single" w:sz="8" w:space="0" w:color="auto"/>
            </w:tcBorders>
            <w:shd w:val="clear" w:color="000000" w:fill="FFFFFF"/>
            <w:vAlign w:val="center"/>
            <w:hideMark/>
          </w:tcPr>
          <w:p w14:paraId="4295B473"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O8: Trabajo decente y crecimiento económico</w:t>
            </w:r>
          </w:p>
        </w:tc>
      </w:tr>
      <w:tr w:rsidR="006A5968" w:rsidRPr="001E7327" w14:paraId="6A7AE0CD" w14:textId="77777777" w:rsidTr="006A5968">
        <w:trPr>
          <w:trHeight w:val="352"/>
        </w:trPr>
        <w:tc>
          <w:tcPr>
            <w:tcW w:w="1893" w:type="dxa"/>
            <w:vMerge/>
            <w:tcBorders>
              <w:top w:val="nil"/>
              <w:left w:val="single" w:sz="8" w:space="0" w:color="auto"/>
              <w:bottom w:val="single" w:sz="8" w:space="0" w:color="000000"/>
              <w:right w:val="single" w:sz="8" w:space="0" w:color="auto"/>
            </w:tcBorders>
            <w:shd w:val="clear" w:color="000000" w:fill="FFFFFF"/>
            <w:noWrap/>
            <w:vAlign w:val="center"/>
          </w:tcPr>
          <w:p w14:paraId="08059866"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tcPr>
          <w:p w14:paraId="59B43487"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tcPr>
          <w:p w14:paraId="71501713"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tcPr>
          <w:p w14:paraId="289233A8"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left w:val="nil"/>
              <w:bottom w:val="single" w:sz="8" w:space="0" w:color="auto"/>
              <w:right w:val="nil"/>
            </w:tcBorders>
            <w:shd w:val="clear" w:color="000000" w:fill="FFFFFF"/>
            <w:vAlign w:val="center"/>
          </w:tcPr>
          <w:p w14:paraId="0BD48256"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single" w:sz="8" w:space="0" w:color="auto"/>
              <w:bottom w:val="single" w:sz="8" w:space="0" w:color="auto"/>
              <w:right w:val="single" w:sz="8" w:space="0" w:color="auto"/>
            </w:tcBorders>
            <w:shd w:val="clear" w:color="000000" w:fill="FFFFFF"/>
            <w:vAlign w:val="center"/>
          </w:tcPr>
          <w:p w14:paraId="7298C999"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Pr>
                <w:rFonts w:ascii="GalanoGrotesque-Medium" w:hAnsi="GalanoGrotesque-Medium"/>
                <w:color w:val="000000"/>
                <w:sz w:val="18"/>
                <w:szCs w:val="18"/>
                <w:lang w:eastAsia="es-MX"/>
              </w:rPr>
              <w:t xml:space="preserve">012: </w:t>
            </w:r>
            <w:r w:rsidRPr="003A5D13">
              <w:rPr>
                <w:rFonts w:ascii="GalanoGrotesque-Medium" w:hAnsi="GalanoGrotesque-Medium"/>
                <w:color w:val="000000"/>
                <w:sz w:val="18"/>
                <w:szCs w:val="18"/>
                <w:lang w:eastAsia="es-MX"/>
              </w:rPr>
              <w:t>Producción y consumo responsables</w:t>
            </w:r>
          </w:p>
        </w:tc>
      </w:tr>
      <w:tr w:rsidR="006A5968" w:rsidRPr="001E7327" w14:paraId="38D4C1A8" w14:textId="77777777" w:rsidTr="006A5968">
        <w:trPr>
          <w:trHeight w:val="399"/>
        </w:trPr>
        <w:tc>
          <w:tcPr>
            <w:tcW w:w="1893" w:type="dxa"/>
            <w:vMerge/>
            <w:tcBorders>
              <w:top w:val="nil"/>
              <w:left w:val="single" w:sz="8" w:space="0" w:color="auto"/>
              <w:bottom w:val="single" w:sz="8" w:space="0" w:color="000000"/>
              <w:right w:val="single" w:sz="8" w:space="0" w:color="auto"/>
            </w:tcBorders>
            <w:vAlign w:val="center"/>
            <w:hideMark/>
          </w:tcPr>
          <w:p w14:paraId="070EF9CF"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64922BCD"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56A73AC0"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6885CB70"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tcBorders>
              <w:top w:val="nil"/>
              <w:left w:val="nil"/>
              <w:bottom w:val="single" w:sz="8" w:space="0" w:color="auto"/>
              <w:right w:val="nil"/>
            </w:tcBorders>
            <w:shd w:val="clear" w:color="000000" w:fill="FFFFFF"/>
            <w:vAlign w:val="center"/>
            <w:hideMark/>
          </w:tcPr>
          <w:p w14:paraId="6FDA72E8"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6. Innovación, productividad y competitividad</w:t>
            </w:r>
          </w:p>
        </w:tc>
        <w:tc>
          <w:tcPr>
            <w:tcW w:w="3939" w:type="dxa"/>
            <w:tcBorders>
              <w:top w:val="nil"/>
              <w:left w:val="single" w:sz="8" w:space="0" w:color="auto"/>
              <w:bottom w:val="single" w:sz="8" w:space="0" w:color="auto"/>
              <w:right w:val="single" w:sz="8" w:space="0" w:color="auto"/>
            </w:tcBorders>
            <w:shd w:val="clear" w:color="000000" w:fill="FFFFFF"/>
            <w:vAlign w:val="center"/>
            <w:hideMark/>
          </w:tcPr>
          <w:p w14:paraId="2A772BB6"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O9: Industria, innovación, infraestructura</w:t>
            </w:r>
          </w:p>
        </w:tc>
      </w:tr>
      <w:tr w:rsidR="006A5968" w:rsidRPr="001E7327" w14:paraId="5E4C2DA0" w14:textId="77777777" w:rsidTr="006A5968">
        <w:trPr>
          <w:trHeight w:val="176"/>
        </w:trPr>
        <w:tc>
          <w:tcPr>
            <w:tcW w:w="1893" w:type="dxa"/>
            <w:vMerge/>
            <w:tcBorders>
              <w:top w:val="nil"/>
              <w:left w:val="single" w:sz="8" w:space="0" w:color="auto"/>
              <w:bottom w:val="single" w:sz="8" w:space="0" w:color="000000"/>
              <w:right w:val="single" w:sz="8" w:space="0" w:color="auto"/>
            </w:tcBorders>
            <w:vAlign w:val="center"/>
            <w:hideMark/>
          </w:tcPr>
          <w:p w14:paraId="55160A05"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498B404D"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7E2EA5AE"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5E971100"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4741287"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7. Sustentabilidad ambiental, resiliencia y prosperidad urbana.</w:t>
            </w:r>
          </w:p>
        </w:tc>
        <w:tc>
          <w:tcPr>
            <w:tcW w:w="3939" w:type="dxa"/>
            <w:tcBorders>
              <w:top w:val="nil"/>
              <w:left w:val="nil"/>
              <w:bottom w:val="single" w:sz="8" w:space="0" w:color="auto"/>
              <w:right w:val="single" w:sz="8" w:space="0" w:color="auto"/>
            </w:tcBorders>
            <w:shd w:val="clear" w:color="000000" w:fill="FFFFFF"/>
            <w:vAlign w:val="center"/>
            <w:hideMark/>
          </w:tcPr>
          <w:p w14:paraId="53F7A39A"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 xml:space="preserve">O6: Agua limpia y saneamiento </w:t>
            </w:r>
          </w:p>
        </w:tc>
      </w:tr>
      <w:tr w:rsidR="006A5968" w:rsidRPr="001E7327" w14:paraId="328957B6" w14:textId="77777777" w:rsidTr="006A5968">
        <w:trPr>
          <w:trHeight w:val="352"/>
        </w:trPr>
        <w:tc>
          <w:tcPr>
            <w:tcW w:w="1893" w:type="dxa"/>
            <w:vMerge/>
            <w:tcBorders>
              <w:top w:val="nil"/>
              <w:left w:val="single" w:sz="8" w:space="0" w:color="auto"/>
              <w:bottom w:val="single" w:sz="8" w:space="0" w:color="000000"/>
              <w:right w:val="single" w:sz="8" w:space="0" w:color="auto"/>
            </w:tcBorders>
            <w:vAlign w:val="center"/>
            <w:hideMark/>
          </w:tcPr>
          <w:p w14:paraId="2B7F356F"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4A31A2CA"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6D3EF373"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230E7B57"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7D9E761E"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nil"/>
              <w:bottom w:val="single" w:sz="8" w:space="0" w:color="auto"/>
              <w:right w:val="single" w:sz="8" w:space="0" w:color="auto"/>
            </w:tcBorders>
            <w:shd w:val="clear" w:color="000000" w:fill="FFFFFF"/>
            <w:vAlign w:val="center"/>
            <w:hideMark/>
          </w:tcPr>
          <w:p w14:paraId="432661F9"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O7: Energía asequible y no contaminante</w:t>
            </w:r>
          </w:p>
        </w:tc>
      </w:tr>
      <w:tr w:rsidR="006A5968" w:rsidRPr="001E7327" w14:paraId="3B5F5A60" w14:textId="77777777" w:rsidTr="006A5968">
        <w:trPr>
          <w:trHeight w:val="223"/>
        </w:trPr>
        <w:tc>
          <w:tcPr>
            <w:tcW w:w="1893" w:type="dxa"/>
            <w:vMerge/>
            <w:tcBorders>
              <w:top w:val="nil"/>
              <w:left w:val="single" w:sz="8" w:space="0" w:color="auto"/>
              <w:bottom w:val="single" w:sz="8" w:space="0" w:color="000000"/>
              <w:right w:val="single" w:sz="8" w:space="0" w:color="auto"/>
            </w:tcBorders>
            <w:vAlign w:val="center"/>
            <w:hideMark/>
          </w:tcPr>
          <w:p w14:paraId="59F6BB2E"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6977BA49"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313275E9"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77E23AFE"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3CFE09D3"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nil"/>
              <w:bottom w:val="single" w:sz="8" w:space="0" w:color="auto"/>
              <w:right w:val="single" w:sz="8" w:space="0" w:color="auto"/>
            </w:tcBorders>
            <w:shd w:val="clear" w:color="000000" w:fill="FFFFFF"/>
            <w:vAlign w:val="center"/>
            <w:hideMark/>
          </w:tcPr>
          <w:p w14:paraId="78CBBEB0"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O11: Ciudades y comunidades sostenibles</w:t>
            </w:r>
          </w:p>
        </w:tc>
      </w:tr>
      <w:tr w:rsidR="006A5968" w:rsidRPr="001E7327" w14:paraId="6CD51DBD" w14:textId="77777777" w:rsidTr="006A5968">
        <w:trPr>
          <w:trHeight w:val="352"/>
        </w:trPr>
        <w:tc>
          <w:tcPr>
            <w:tcW w:w="1893" w:type="dxa"/>
            <w:vMerge/>
            <w:tcBorders>
              <w:top w:val="nil"/>
              <w:left w:val="single" w:sz="8" w:space="0" w:color="auto"/>
              <w:bottom w:val="single" w:sz="8" w:space="0" w:color="000000"/>
              <w:right w:val="single" w:sz="8" w:space="0" w:color="auto"/>
            </w:tcBorders>
            <w:vAlign w:val="center"/>
            <w:hideMark/>
          </w:tcPr>
          <w:p w14:paraId="541AF934"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29D7220C"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3D41FE40"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27C3B990"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1AB29AC3"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nil"/>
              <w:bottom w:val="single" w:sz="8" w:space="0" w:color="auto"/>
              <w:right w:val="single" w:sz="8" w:space="0" w:color="auto"/>
            </w:tcBorders>
            <w:shd w:val="clear" w:color="000000" w:fill="FFFFFF"/>
            <w:vAlign w:val="center"/>
            <w:hideMark/>
          </w:tcPr>
          <w:p w14:paraId="50E7EF53"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Pr>
                <w:rFonts w:ascii="GalanoGrotesque-Medium" w:hAnsi="GalanoGrotesque-Medium"/>
                <w:color w:val="000000"/>
                <w:sz w:val="18"/>
                <w:szCs w:val="18"/>
                <w:lang w:eastAsia="es-MX"/>
              </w:rPr>
              <w:t xml:space="preserve">O12: </w:t>
            </w:r>
            <w:r w:rsidRPr="003A5D13">
              <w:rPr>
                <w:rFonts w:ascii="GalanoGrotesque-Medium" w:hAnsi="GalanoGrotesque-Medium"/>
                <w:color w:val="000000"/>
                <w:sz w:val="18"/>
                <w:szCs w:val="18"/>
                <w:lang w:eastAsia="es-MX"/>
              </w:rPr>
              <w:t>Producción y consumo responsables</w:t>
            </w:r>
          </w:p>
        </w:tc>
      </w:tr>
      <w:tr w:rsidR="006A5968" w:rsidRPr="001E7327" w14:paraId="26FAB17A" w14:textId="77777777" w:rsidTr="006A5968">
        <w:trPr>
          <w:trHeight w:val="223"/>
        </w:trPr>
        <w:tc>
          <w:tcPr>
            <w:tcW w:w="1893" w:type="dxa"/>
            <w:vMerge/>
            <w:tcBorders>
              <w:top w:val="nil"/>
              <w:left w:val="single" w:sz="8" w:space="0" w:color="auto"/>
              <w:bottom w:val="single" w:sz="8" w:space="0" w:color="000000"/>
              <w:right w:val="single" w:sz="8" w:space="0" w:color="auto"/>
            </w:tcBorders>
            <w:vAlign w:val="center"/>
          </w:tcPr>
          <w:p w14:paraId="46E2CCA7"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tcPr>
          <w:p w14:paraId="05D1F937"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tcPr>
          <w:p w14:paraId="63525E96"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tcPr>
          <w:p w14:paraId="6A0395C1"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tcPr>
          <w:p w14:paraId="2694F138"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nil"/>
              <w:bottom w:val="single" w:sz="8" w:space="0" w:color="auto"/>
              <w:right w:val="single" w:sz="8" w:space="0" w:color="auto"/>
            </w:tcBorders>
            <w:shd w:val="clear" w:color="000000" w:fill="FFFFFF"/>
            <w:vAlign w:val="center"/>
          </w:tcPr>
          <w:p w14:paraId="3AF6BE98"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O13: Acción por el clima</w:t>
            </w:r>
          </w:p>
        </w:tc>
      </w:tr>
      <w:tr w:rsidR="006A5968" w:rsidRPr="001E7327" w14:paraId="161066F3" w14:textId="77777777" w:rsidTr="006A5968">
        <w:trPr>
          <w:trHeight w:val="223"/>
        </w:trPr>
        <w:tc>
          <w:tcPr>
            <w:tcW w:w="1893" w:type="dxa"/>
            <w:vMerge/>
            <w:tcBorders>
              <w:top w:val="nil"/>
              <w:left w:val="single" w:sz="8" w:space="0" w:color="auto"/>
              <w:bottom w:val="single" w:sz="8" w:space="0" w:color="000000"/>
              <w:right w:val="single" w:sz="8" w:space="0" w:color="auto"/>
            </w:tcBorders>
            <w:vAlign w:val="center"/>
          </w:tcPr>
          <w:p w14:paraId="7A774A24"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tcPr>
          <w:p w14:paraId="4D644974"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tcPr>
          <w:p w14:paraId="1B62C315"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tcPr>
          <w:p w14:paraId="36E2AB3C"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tcPr>
          <w:p w14:paraId="30CFF5E3"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nil"/>
              <w:bottom w:val="single" w:sz="8" w:space="0" w:color="auto"/>
              <w:right w:val="single" w:sz="8" w:space="0" w:color="auto"/>
            </w:tcBorders>
            <w:shd w:val="clear" w:color="000000" w:fill="FFFFFF"/>
            <w:vAlign w:val="center"/>
          </w:tcPr>
          <w:p w14:paraId="3518DE2E"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Pr>
                <w:rFonts w:ascii="GalanoGrotesque-Medium" w:hAnsi="GalanoGrotesque-Medium"/>
                <w:color w:val="000000"/>
                <w:sz w:val="18"/>
                <w:szCs w:val="18"/>
                <w:lang w:eastAsia="es-MX"/>
              </w:rPr>
              <w:t>O14: Vida submarina</w:t>
            </w:r>
            <w:r w:rsidRPr="00774AEF">
              <w:rPr>
                <w:rFonts w:ascii="GalanoGrotesque-Medium" w:hAnsi="GalanoGrotesque-Medium"/>
                <w:color w:val="000000"/>
                <w:sz w:val="18"/>
                <w:szCs w:val="18"/>
                <w:lang w:eastAsia="es-MX"/>
              </w:rPr>
              <w:t xml:space="preserve"> </w:t>
            </w:r>
          </w:p>
        </w:tc>
      </w:tr>
      <w:tr w:rsidR="006A5968" w:rsidRPr="001E7327" w14:paraId="640BF766" w14:textId="77777777" w:rsidTr="006A5968">
        <w:trPr>
          <w:trHeight w:val="223"/>
        </w:trPr>
        <w:tc>
          <w:tcPr>
            <w:tcW w:w="1893" w:type="dxa"/>
            <w:vMerge/>
            <w:tcBorders>
              <w:top w:val="nil"/>
              <w:left w:val="single" w:sz="8" w:space="0" w:color="auto"/>
              <w:bottom w:val="single" w:sz="8" w:space="0" w:color="000000"/>
              <w:right w:val="single" w:sz="8" w:space="0" w:color="auto"/>
            </w:tcBorders>
            <w:vAlign w:val="center"/>
            <w:hideMark/>
          </w:tcPr>
          <w:p w14:paraId="0E4A42C2"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51EFD515"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78CE60D7"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20660C9F"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8" w:space="0" w:color="000000"/>
              <w:right w:val="single" w:sz="8" w:space="0" w:color="auto"/>
            </w:tcBorders>
            <w:vAlign w:val="center"/>
            <w:hideMark/>
          </w:tcPr>
          <w:p w14:paraId="05FEF4A0"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nil"/>
              <w:bottom w:val="single" w:sz="8" w:space="0" w:color="auto"/>
              <w:right w:val="single" w:sz="8" w:space="0" w:color="auto"/>
            </w:tcBorders>
            <w:shd w:val="clear" w:color="000000" w:fill="FFFFFF"/>
            <w:vAlign w:val="center"/>
            <w:hideMark/>
          </w:tcPr>
          <w:p w14:paraId="20FB4ED5"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O15: Vida de ecosistemas terrestres</w:t>
            </w:r>
          </w:p>
        </w:tc>
      </w:tr>
      <w:tr w:rsidR="006A5968" w:rsidRPr="001E7327" w14:paraId="51A20F48" w14:textId="77777777" w:rsidTr="006A5968">
        <w:trPr>
          <w:trHeight w:val="352"/>
        </w:trPr>
        <w:tc>
          <w:tcPr>
            <w:tcW w:w="189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A1F02D6"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V. México con Responsabilidad Global</w:t>
            </w:r>
          </w:p>
        </w:tc>
        <w:tc>
          <w:tcPr>
            <w:tcW w:w="625" w:type="dxa"/>
            <w:vMerge/>
            <w:tcBorders>
              <w:top w:val="nil"/>
              <w:left w:val="single" w:sz="8" w:space="0" w:color="auto"/>
              <w:bottom w:val="single" w:sz="8" w:space="0" w:color="000000"/>
              <w:right w:val="single" w:sz="8" w:space="0" w:color="auto"/>
            </w:tcBorders>
            <w:vAlign w:val="center"/>
            <w:hideMark/>
          </w:tcPr>
          <w:p w14:paraId="52BC8C1B"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2657C2C6"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8" w:space="0" w:color="000000"/>
              <w:right w:val="single" w:sz="8" w:space="0" w:color="auto"/>
            </w:tcBorders>
            <w:vAlign w:val="center"/>
            <w:hideMark/>
          </w:tcPr>
          <w:p w14:paraId="0FD7ED0A"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9AD5A91"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 xml:space="preserve">7. Sustentabilidad ambiental, resiliencia y prosperidad urbana. </w:t>
            </w:r>
          </w:p>
          <w:p w14:paraId="3A7866E2"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r w:rsidRPr="00774AEF">
              <w:rPr>
                <w:rFonts w:ascii="GalanoGrotesque-Medium" w:hAnsi="GalanoGrotesque-Medium" w:cs="Arial"/>
                <w:color w:val="000000"/>
                <w:sz w:val="18"/>
                <w:szCs w:val="18"/>
                <w:lang w:eastAsia="es-MX"/>
              </w:rPr>
              <w:t>2. Tranquilidad justicia y paz.</w:t>
            </w:r>
          </w:p>
        </w:tc>
        <w:tc>
          <w:tcPr>
            <w:tcW w:w="3939" w:type="dxa"/>
            <w:tcBorders>
              <w:top w:val="nil"/>
              <w:left w:val="nil"/>
              <w:bottom w:val="single" w:sz="8" w:space="0" w:color="auto"/>
              <w:right w:val="single" w:sz="8" w:space="0" w:color="auto"/>
            </w:tcBorders>
            <w:shd w:val="clear" w:color="000000" w:fill="FFFFFF"/>
            <w:vAlign w:val="center"/>
            <w:hideMark/>
          </w:tcPr>
          <w:p w14:paraId="380FCFC2"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Pr>
                <w:rFonts w:ascii="GalanoGrotesque-Medium" w:hAnsi="GalanoGrotesque-Medium"/>
                <w:color w:val="000000"/>
                <w:sz w:val="18"/>
                <w:szCs w:val="18"/>
                <w:lang w:eastAsia="es-MX"/>
              </w:rPr>
              <w:t xml:space="preserve">O12: </w:t>
            </w:r>
            <w:r w:rsidRPr="003A5D13">
              <w:rPr>
                <w:rFonts w:ascii="GalanoGrotesque-Medium" w:hAnsi="GalanoGrotesque-Medium"/>
                <w:color w:val="000000"/>
                <w:sz w:val="18"/>
                <w:szCs w:val="18"/>
                <w:lang w:eastAsia="es-MX"/>
              </w:rPr>
              <w:t>Producción y consumo responsables</w:t>
            </w:r>
          </w:p>
        </w:tc>
      </w:tr>
      <w:tr w:rsidR="006A5968" w:rsidRPr="001E7327" w14:paraId="64929A65" w14:textId="77777777" w:rsidTr="006A5968">
        <w:trPr>
          <w:trHeight w:val="352"/>
        </w:trPr>
        <w:tc>
          <w:tcPr>
            <w:tcW w:w="1893" w:type="dxa"/>
            <w:vMerge/>
            <w:tcBorders>
              <w:top w:val="nil"/>
              <w:left w:val="single" w:sz="8" w:space="0" w:color="auto"/>
              <w:bottom w:val="single" w:sz="4" w:space="0" w:color="auto"/>
              <w:right w:val="single" w:sz="8" w:space="0" w:color="auto"/>
            </w:tcBorders>
            <w:vAlign w:val="center"/>
          </w:tcPr>
          <w:p w14:paraId="513113C6"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4" w:space="0" w:color="auto"/>
              <w:right w:val="single" w:sz="8" w:space="0" w:color="auto"/>
            </w:tcBorders>
            <w:vAlign w:val="center"/>
          </w:tcPr>
          <w:p w14:paraId="62D06BDE"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4" w:space="0" w:color="auto"/>
              <w:right w:val="single" w:sz="8" w:space="0" w:color="auto"/>
            </w:tcBorders>
            <w:vAlign w:val="center"/>
          </w:tcPr>
          <w:p w14:paraId="70C714CA"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4" w:space="0" w:color="auto"/>
              <w:right w:val="single" w:sz="8" w:space="0" w:color="auto"/>
            </w:tcBorders>
            <w:vAlign w:val="center"/>
          </w:tcPr>
          <w:p w14:paraId="20756DDD"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4" w:space="0" w:color="auto"/>
              <w:right w:val="single" w:sz="8" w:space="0" w:color="auto"/>
            </w:tcBorders>
            <w:vAlign w:val="center"/>
          </w:tcPr>
          <w:p w14:paraId="54048117"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nil"/>
              <w:bottom w:val="single" w:sz="4" w:space="0" w:color="auto"/>
              <w:right w:val="single" w:sz="8" w:space="0" w:color="auto"/>
            </w:tcBorders>
            <w:shd w:val="clear" w:color="000000" w:fill="FFFFFF"/>
            <w:vAlign w:val="center"/>
          </w:tcPr>
          <w:p w14:paraId="4BD925F9"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O16: Paz, justicia e instituciones sólidas</w:t>
            </w:r>
          </w:p>
        </w:tc>
      </w:tr>
      <w:tr w:rsidR="006A5968" w:rsidRPr="001E7327" w14:paraId="25274391" w14:textId="77777777" w:rsidTr="006A5968">
        <w:trPr>
          <w:trHeight w:val="77"/>
        </w:trPr>
        <w:tc>
          <w:tcPr>
            <w:tcW w:w="1893" w:type="dxa"/>
            <w:vMerge/>
            <w:tcBorders>
              <w:top w:val="nil"/>
              <w:left w:val="single" w:sz="8" w:space="0" w:color="auto"/>
              <w:bottom w:val="single" w:sz="4" w:space="0" w:color="auto"/>
              <w:right w:val="single" w:sz="8" w:space="0" w:color="auto"/>
            </w:tcBorders>
            <w:vAlign w:val="center"/>
            <w:hideMark/>
          </w:tcPr>
          <w:p w14:paraId="673A05D5"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625" w:type="dxa"/>
            <w:vMerge/>
            <w:tcBorders>
              <w:top w:val="nil"/>
              <w:left w:val="single" w:sz="8" w:space="0" w:color="auto"/>
              <w:bottom w:val="single" w:sz="4" w:space="0" w:color="auto"/>
              <w:right w:val="single" w:sz="8" w:space="0" w:color="auto"/>
            </w:tcBorders>
            <w:vAlign w:val="center"/>
            <w:hideMark/>
          </w:tcPr>
          <w:p w14:paraId="37FEA0DC"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4" w:space="0" w:color="auto"/>
              <w:right w:val="single" w:sz="8" w:space="0" w:color="auto"/>
            </w:tcBorders>
            <w:vAlign w:val="center"/>
            <w:hideMark/>
          </w:tcPr>
          <w:p w14:paraId="3E6DE1A7"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625" w:type="dxa"/>
            <w:vMerge/>
            <w:tcBorders>
              <w:top w:val="nil"/>
              <w:left w:val="single" w:sz="8" w:space="0" w:color="auto"/>
              <w:bottom w:val="single" w:sz="4" w:space="0" w:color="auto"/>
              <w:right w:val="single" w:sz="8" w:space="0" w:color="auto"/>
            </w:tcBorders>
            <w:vAlign w:val="center"/>
            <w:hideMark/>
          </w:tcPr>
          <w:p w14:paraId="18769352" w14:textId="77777777" w:rsidR="006A5968" w:rsidRPr="00774AEF" w:rsidRDefault="006A5968" w:rsidP="006A5968">
            <w:pPr>
              <w:spacing w:after="0" w:line="200" w:lineRule="atLeast"/>
              <w:rPr>
                <w:rFonts w:ascii="GalanoGrotesque-Medium" w:hAnsi="GalanoGrotesque-Medium" w:cs="Arial"/>
                <w:b/>
                <w:bCs/>
                <w:color w:val="000000"/>
                <w:sz w:val="18"/>
                <w:szCs w:val="18"/>
                <w:lang w:eastAsia="es-MX"/>
              </w:rPr>
            </w:pPr>
          </w:p>
        </w:tc>
        <w:tc>
          <w:tcPr>
            <w:tcW w:w="3119" w:type="dxa"/>
            <w:vMerge/>
            <w:tcBorders>
              <w:top w:val="nil"/>
              <w:left w:val="single" w:sz="8" w:space="0" w:color="auto"/>
              <w:bottom w:val="single" w:sz="4" w:space="0" w:color="auto"/>
              <w:right w:val="single" w:sz="8" w:space="0" w:color="auto"/>
            </w:tcBorders>
            <w:vAlign w:val="center"/>
            <w:hideMark/>
          </w:tcPr>
          <w:p w14:paraId="17FE677D" w14:textId="77777777" w:rsidR="006A5968" w:rsidRPr="00774AEF" w:rsidRDefault="006A5968" w:rsidP="006A5968">
            <w:pPr>
              <w:spacing w:after="0" w:line="200" w:lineRule="atLeast"/>
              <w:rPr>
                <w:rFonts w:ascii="GalanoGrotesque-Medium" w:hAnsi="GalanoGrotesque-Medium" w:cs="Arial"/>
                <w:color w:val="000000"/>
                <w:sz w:val="18"/>
                <w:szCs w:val="18"/>
                <w:lang w:eastAsia="es-MX"/>
              </w:rPr>
            </w:pPr>
          </w:p>
        </w:tc>
        <w:tc>
          <w:tcPr>
            <w:tcW w:w="3939" w:type="dxa"/>
            <w:tcBorders>
              <w:top w:val="nil"/>
              <w:left w:val="nil"/>
              <w:bottom w:val="single" w:sz="4" w:space="0" w:color="auto"/>
              <w:right w:val="single" w:sz="8" w:space="0" w:color="auto"/>
            </w:tcBorders>
            <w:shd w:val="clear" w:color="000000" w:fill="FFFFFF"/>
            <w:vAlign w:val="center"/>
            <w:hideMark/>
          </w:tcPr>
          <w:p w14:paraId="15D4F0D1" w14:textId="77777777" w:rsidR="006A5968" w:rsidRPr="00774AEF" w:rsidRDefault="006A5968" w:rsidP="006A5968">
            <w:pPr>
              <w:spacing w:after="0" w:line="200" w:lineRule="atLeast"/>
              <w:rPr>
                <w:rFonts w:ascii="GalanoGrotesque-Medium" w:hAnsi="GalanoGrotesque-Medium"/>
                <w:color w:val="000000"/>
                <w:sz w:val="18"/>
                <w:szCs w:val="18"/>
                <w:lang w:eastAsia="es-MX"/>
              </w:rPr>
            </w:pPr>
            <w:r w:rsidRPr="00774AEF">
              <w:rPr>
                <w:rFonts w:ascii="GalanoGrotesque-Medium" w:hAnsi="GalanoGrotesque-Medium"/>
                <w:color w:val="000000"/>
                <w:sz w:val="18"/>
                <w:szCs w:val="18"/>
                <w:lang w:eastAsia="es-MX"/>
              </w:rPr>
              <w:t>O17: Alianza para lograr los objetivos</w:t>
            </w:r>
          </w:p>
        </w:tc>
      </w:tr>
    </w:tbl>
    <w:p w14:paraId="6E57C9A5" w14:textId="77777777" w:rsidR="00475B98" w:rsidRDefault="00475B98" w:rsidP="00A75B3A">
      <w:pPr>
        <w:spacing w:after="0" w:line="180" w:lineRule="exact"/>
        <w:rPr>
          <w:rFonts w:ascii="GalanoGrotesque-Medium" w:hAnsi="GalanoGrotesque-Medium" w:cs="Arial"/>
          <w:b/>
        </w:rPr>
      </w:pPr>
      <w:r w:rsidRPr="001C0352">
        <w:rPr>
          <w:rFonts w:ascii="GalanoGrotesque-Regular" w:hAnsi="GalanoGrotesque-Regular" w:cs="Arial"/>
          <w:sz w:val="20"/>
          <w:szCs w:val="20"/>
        </w:rPr>
        <w:t>Fuente: Elaboración propia, Coordinación General de Gabinete y Planeación del Gobierno de Michoacán.</w:t>
      </w:r>
    </w:p>
    <w:p w14:paraId="38DFB315" w14:textId="77777777" w:rsidR="006A5968" w:rsidRPr="00475B98" w:rsidRDefault="00475B98" w:rsidP="00475B98">
      <w:pPr>
        <w:tabs>
          <w:tab w:val="left" w:pos="3081"/>
        </w:tabs>
        <w:rPr>
          <w:rFonts w:ascii="GalanoGrotesque-Medium" w:hAnsi="GalanoGrotesque-Medium" w:cs="Arial"/>
        </w:rPr>
        <w:sectPr w:rsidR="006A5968" w:rsidRPr="00475B98" w:rsidSect="006A5968">
          <w:footnotePr>
            <w:numStart w:val="4"/>
          </w:footnotePr>
          <w:type w:val="continuous"/>
          <w:pgSz w:w="12240" w:h="15840" w:code="1"/>
          <w:pgMar w:top="1134" w:right="1418" w:bottom="1134" w:left="1418" w:header="567" w:footer="709" w:gutter="0"/>
          <w:cols w:space="567"/>
          <w:docGrid w:linePitch="360"/>
        </w:sectPr>
      </w:pPr>
      <w:r>
        <w:rPr>
          <w:rFonts w:ascii="GalanoGrotesque-Medium" w:hAnsi="GalanoGrotesque-Medium" w:cs="Arial"/>
        </w:rPr>
        <w:tab/>
      </w:r>
    </w:p>
    <w:p w14:paraId="3F521722" w14:textId="77777777" w:rsidR="00D9380C" w:rsidRDefault="00D9380C" w:rsidP="00475B98">
      <w:pPr>
        <w:spacing w:after="160" w:line="240" w:lineRule="auto"/>
        <w:jc w:val="both"/>
        <w:rPr>
          <w:rFonts w:ascii="MyriadPro-Regular" w:hAnsi="MyriadPro-Regular" w:cs="MyriadPro-Regular"/>
          <w:color w:val="414142"/>
          <w:sz w:val="20"/>
          <w:szCs w:val="20"/>
        </w:rPr>
      </w:pPr>
      <w:r w:rsidRPr="00D9380C">
        <w:rPr>
          <w:rFonts w:ascii="MyriadPro-Regular" w:hAnsi="MyriadPro-Regular" w:cs="MyriadPro-Regular"/>
          <w:color w:val="414142"/>
          <w:sz w:val="20"/>
          <w:szCs w:val="20"/>
        </w:rPr>
        <w:lastRenderedPageBreak/>
        <w:t>Es importante hacer sinergia entre el Plan Nacional y el PLADIEM, ya que llevar a México a su máximo potencial incluye no sólo buscar el desarrollo y prosperidad de Michoacán sino también sumar esfuerzos y apuntar en la misma dirección en el ámbito nacional. Se busca, por tanto, unificar energías y dirigirnos todos hacia el logro de metas comunes, compartidas y complementadas. Además, el PLADIEM retoma los objetivos de desarrollo sostenible (ODS) de la Organización de las Naciones Unidas, como a continuación se muestra en la Figura 7.</w:t>
      </w:r>
    </w:p>
    <w:p w14:paraId="0A0D0470" w14:textId="77777777" w:rsidR="00293B5A" w:rsidRPr="00293B5A" w:rsidRDefault="00293B5A" w:rsidP="00293B5A">
      <w:pPr>
        <w:pStyle w:val="Prrafodelista"/>
        <w:numPr>
          <w:ilvl w:val="0"/>
          <w:numId w:val="14"/>
        </w:numPr>
        <w:tabs>
          <w:tab w:val="clear" w:pos="720"/>
        </w:tabs>
        <w:spacing w:after="160"/>
        <w:ind w:left="426" w:hanging="426"/>
        <w:jc w:val="both"/>
        <w:outlineLvl w:val="0"/>
        <w:rPr>
          <w:rFonts w:ascii="Myriad Pro" w:hAnsi="Myriad Pro" w:cs="Arial"/>
          <w:b/>
          <w:color w:val="404040" w:themeColor="text1" w:themeTint="BF"/>
          <w:sz w:val="28"/>
          <w:szCs w:val="28"/>
        </w:rPr>
      </w:pPr>
      <w:bookmarkStart w:id="8" w:name="_Toc458015635"/>
      <w:r w:rsidRPr="00293B5A">
        <w:rPr>
          <w:rFonts w:ascii="Myriad Pro" w:hAnsi="Myriad Pro" w:cs="Arial"/>
          <w:b/>
          <w:color w:val="404040" w:themeColor="text1" w:themeTint="BF"/>
          <w:sz w:val="28"/>
          <w:szCs w:val="28"/>
        </w:rPr>
        <w:t>Prioridades Transversales para el Desarrollo Sostenible del Estado de Michoacán</w:t>
      </w:r>
      <w:bookmarkEnd w:id="8"/>
    </w:p>
    <w:p w14:paraId="3FE3CE47" w14:textId="77777777" w:rsidR="003050D0" w:rsidRDefault="00293B5A" w:rsidP="00293B5A">
      <w:pPr>
        <w:spacing w:after="160" w:line="240" w:lineRule="auto"/>
        <w:jc w:val="both"/>
        <w:rPr>
          <w:rFonts w:ascii="MyriadPro-Regular" w:hAnsi="MyriadPro-Regular" w:cs="MyriadPro-Regular"/>
          <w:color w:val="414142"/>
          <w:sz w:val="20"/>
          <w:szCs w:val="20"/>
        </w:rPr>
      </w:pPr>
      <w:r w:rsidRPr="00293B5A">
        <w:rPr>
          <w:rFonts w:ascii="MyriadPro-Regular" w:hAnsi="MyriadPro-Regular" w:cs="MyriadPro-Regular"/>
          <w:color w:val="414142"/>
          <w:sz w:val="20"/>
          <w:szCs w:val="20"/>
        </w:rPr>
        <w:t>Las políticas de igualdad de género, pobreza, sustentabilidad ambiental, gestión de la diversidad, seguridad, cambio climático, migración, vivienda, empleo digno, derechos humanos y desarrollo cultural, entre otros temas, por su complejidad, requieren ser abordados de manera transversal</w:t>
      </w:r>
      <w:r w:rsidR="003050D0">
        <w:rPr>
          <w:rFonts w:ascii="MyriadPro-Regular" w:hAnsi="MyriadPro-Regular" w:cs="MyriadPro-Regular"/>
          <w:color w:val="414142"/>
          <w:sz w:val="20"/>
          <w:szCs w:val="20"/>
        </w:rPr>
        <w:t>.</w:t>
      </w:r>
    </w:p>
    <w:p w14:paraId="78E5F515" w14:textId="216D4A7E" w:rsidR="00831758" w:rsidRPr="00A00313" w:rsidRDefault="00831758" w:rsidP="00293B5A">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La cooperación interinstitucional es una de las líneas de trabajo de la transversalidad que tiene como fin integrar la realidad en todas sus dimensiones. Esto demanda tanto la cooperación del sector público y privado, como la participación activa de la sociedad.</w:t>
      </w:r>
    </w:p>
    <w:p w14:paraId="28F81945" w14:textId="33D800CF" w:rsidR="00831758" w:rsidRPr="00A00313" w:rsidRDefault="00831758" w:rsidP="00475B98">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La transversalidad requiere del análisis de las prioridades y de la realidad del entorno, del diseño de objetivos, la formulación de líneas estratégicas y acciones prioritarias; además, requiere del seguimiento y evaluación de resultados y procesos, la pertinencia de los programas y su impacto social. También se requiere de una evaluación estratégica que permita, en el proceso, adecuar, ajustar, reorientar, reformular e implementar acciones emergentes acordes al </w:t>
      </w:r>
      <w:proofErr w:type="spellStart"/>
      <w:r w:rsidRPr="00A00313">
        <w:rPr>
          <w:rFonts w:ascii="MyriadPro-Regular" w:hAnsi="MyriadPro-Regular" w:cs="MyriadPro-Regular"/>
          <w:color w:val="414142"/>
          <w:sz w:val="20"/>
          <w:szCs w:val="20"/>
        </w:rPr>
        <w:t>evenir</w:t>
      </w:r>
      <w:proofErr w:type="spellEnd"/>
      <w:r w:rsidRPr="00A00313">
        <w:rPr>
          <w:rFonts w:ascii="MyriadPro-Regular" w:hAnsi="MyriadPro-Regular" w:cs="MyriadPro-Regular"/>
          <w:color w:val="414142"/>
          <w:sz w:val="20"/>
          <w:szCs w:val="20"/>
        </w:rPr>
        <w:t xml:space="preserve"> y el comportamiento del contexto. Esta evaluación requiere de indicadores de referencia, de resultados, de gestión y de desempeño, tanto para el PLADIEM como para los programas derivados de éste.</w:t>
      </w:r>
    </w:p>
    <w:p w14:paraId="50EE429C" w14:textId="77777777" w:rsidR="00831758" w:rsidRPr="00A00313" w:rsidRDefault="00831758" w:rsidP="00475B98">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Algunas dimensiones sectoriales que frecuentemente se interrelacionan en las prioridades transversales del PLADIEM son el ámbito territorial, la dinámica poblacional, el desarrollo social (educación, salud, marginación, cohesión social, generación de vivienda), el desempeño económico (producción, riqueza y distribución y consumo, desarrollo tecnológico e </w:t>
      </w:r>
      <w:r w:rsidRPr="00A00313">
        <w:rPr>
          <w:rFonts w:ascii="MyriadPro-Regular" w:hAnsi="MyriadPro-Regular" w:cs="MyriadPro-Regular"/>
          <w:color w:val="414142"/>
          <w:sz w:val="20"/>
          <w:szCs w:val="20"/>
        </w:rPr>
        <w:lastRenderedPageBreak/>
        <w:t>innovación), la procuración e impartición de justicia (seguridad, estructura del estado, derechos humanos, políticos, sociales, sistema político, jurídico), el entorno cultural (participación ciudadana, manifestaciones artesanales, cultura, arte, patrimonios tangibles e intangibles), y el medio ambiente (cambio climático, ecosistemas, preservación del medio), entre otras.</w:t>
      </w:r>
    </w:p>
    <w:p w14:paraId="7E8C1035" w14:textId="5ACE351A" w:rsidR="00831758" w:rsidRPr="00A00313" w:rsidRDefault="00831758" w:rsidP="00475B98">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Finalmente un enfoque transversal requiere de un esquema de gobernanza: participación, responsabilidad, eficacia administrativa, coherencia, rendición de cuentas y apertura. Hacer transversales estos principios básicos y esenciales promoverá una adecuada forma de gobernar entre todos los niveles de gobierno. Generar desarrollo económico y bienestar social implica invertir recursos públicos, privados y sociales; esta inversión a su vez requiere de condiciones de gobernanza que permitan que dichas inversiones sean viables y efectivas. La Seguridad Pública es un eje de gobernanza fundamental a considerar ya que sin seguridad y estado de derecho las condiciones mínimas para el progreso no se cumplen. Por otro lado, si se carece de recursos públicos no se podrá incidir</w:t>
      </w:r>
      <w:r w:rsidRPr="00831758">
        <w:rPr>
          <w:rFonts w:ascii="GalanoGrotesque-Medium" w:eastAsia="Times New Roman" w:hAnsi="GalanoGrotesque-Medium" w:cs="Arial"/>
          <w:sz w:val="24"/>
          <w:szCs w:val="24"/>
          <w:lang w:val="es-ES" w:eastAsia="es-ES"/>
        </w:rPr>
        <w:t xml:space="preserve"> </w:t>
      </w:r>
      <w:r w:rsidRPr="00A00313">
        <w:rPr>
          <w:rFonts w:ascii="MyriadPro-Regular" w:hAnsi="MyriadPro-Regular" w:cs="MyriadPro-Regular"/>
          <w:color w:val="414142"/>
          <w:sz w:val="20"/>
          <w:szCs w:val="20"/>
        </w:rPr>
        <w:t>sobre los principales problemas socio-económicos del Estado, de allí que otro de los ejes fundamentales de gobernanza es lograr Finanzas Sanas en la hacienda pública. Lograr una Educación con Calidad e incrementar en forma importante el acceso a ésta, es un tercer eje de gobernanza que es indispensable para llevar a la población michoacana a un mayor nivel de bienestar y desarrollo humano.</w:t>
      </w:r>
      <w:r w:rsidR="003050D0">
        <w:rPr>
          <w:rFonts w:ascii="MyriadPro-Regular" w:hAnsi="MyriadPro-Regular" w:cs="MyriadPro-Regular"/>
          <w:color w:val="414142"/>
          <w:sz w:val="20"/>
          <w:szCs w:val="20"/>
        </w:rPr>
        <w:t xml:space="preserve"> </w:t>
      </w:r>
      <w:r w:rsidRPr="00A00313">
        <w:rPr>
          <w:rFonts w:ascii="MyriadPro-Regular" w:hAnsi="MyriadPro-Regular" w:cs="MyriadPro-Regular"/>
          <w:color w:val="414142"/>
          <w:sz w:val="20"/>
          <w:szCs w:val="20"/>
        </w:rPr>
        <w:t>Estos tres Ejes de Gobernanza se entrelazan con las nueve prioridades transversales del PLADIEM, marcando el rumbo del Michoacán que las y los michoacanos construiremos (Figura 8).</w:t>
      </w:r>
    </w:p>
    <w:p w14:paraId="5E56B4DE" w14:textId="77777777" w:rsidR="00831758" w:rsidRPr="00EF5C69" w:rsidRDefault="00831758" w:rsidP="00475B98">
      <w:pPr>
        <w:spacing w:after="0" w:line="180" w:lineRule="exact"/>
        <w:jc w:val="center"/>
        <w:rPr>
          <w:rFonts w:ascii="GalanoGrotesque-Medium" w:eastAsia="Times New Roman" w:hAnsi="GalanoGrotesque-Medium" w:cs="Arial"/>
          <w:b/>
          <w:sz w:val="24"/>
          <w:szCs w:val="24"/>
          <w:lang w:val="es-ES" w:eastAsia="es-ES"/>
        </w:rPr>
      </w:pPr>
      <w:r w:rsidRPr="00475B98">
        <w:rPr>
          <w:rFonts w:ascii="GalanoGrotesque-Medium" w:eastAsia="Times New Roman" w:hAnsi="GalanoGrotesque-Medium" w:cs="Arial"/>
          <w:b/>
          <w:sz w:val="16"/>
          <w:szCs w:val="24"/>
          <w:lang w:val="es-ES" w:eastAsia="es-ES"/>
        </w:rPr>
        <w:t>Figura 8</w:t>
      </w:r>
      <w:r w:rsidR="00EF5C69" w:rsidRPr="00475B98">
        <w:rPr>
          <w:rFonts w:ascii="GalanoGrotesque-Medium" w:eastAsia="Times New Roman" w:hAnsi="GalanoGrotesque-Medium" w:cs="Arial"/>
          <w:b/>
          <w:sz w:val="16"/>
          <w:szCs w:val="24"/>
          <w:lang w:val="es-ES" w:eastAsia="es-ES"/>
        </w:rPr>
        <w:t xml:space="preserve"> </w:t>
      </w:r>
      <w:r w:rsidRPr="00475B98">
        <w:rPr>
          <w:rFonts w:ascii="GalanoGrotesque-Medium" w:eastAsia="Times New Roman" w:hAnsi="GalanoGrotesque-Medium" w:cs="Arial"/>
          <w:b/>
          <w:sz w:val="16"/>
          <w:szCs w:val="24"/>
          <w:lang w:val="es-ES" w:eastAsia="es-ES"/>
        </w:rPr>
        <w:t>Gestión Transversal</w:t>
      </w:r>
    </w:p>
    <w:p w14:paraId="3F658CFA" w14:textId="77777777" w:rsidR="00831758" w:rsidRPr="00831758" w:rsidRDefault="00831758" w:rsidP="00831758">
      <w:pPr>
        <w:spacing w:after="240"/>
        <w:jc w:val="center"/>
        <w:rPr>
          <w:rFonts w:ascii="GalanoGrotesque-Medium" w:eastAsia="Times New Roman" w:hAnsi="GalanoGrotesque-Medium" w:cs="Arial"/>
          <w:sz w:val="24"/>
          <w:szCs w:val="24"/>
          <w:lang w:val="es-ES" w:eastAsia="es-ES"/>
        </w:rPr>
      </w:pPr>
      <w:r w:rsidRPr="00831758">
        <w:rPr>
          <w:rFonts w:ascii="GalanoGrotesque-Medium" w:eastAsia="Times New Roman" w:hAnsi="GalanoGrotesque-Medium" w:cs="Times New Roman"/>
          <w:noProof/>
          <w:sz w:val="24"/>
          <w:szCs w:val="24"/>
          <w:lang w:val="es-ES" w:eastAsia="es-ES"/>
        </w:rPr>
        <w:drawing>
          <wp:inline distT="0" distB="0" distL="0" distR="0" wp14:anchorId="6FABC2A4" wp14:editId="7CD877C5">
            <wp:extent cx="2365096" cy="1947554"/>
            <wp:effectExtent l="0" t="0" r="0" b="0"/>
            <wp:docPr id="59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7"/>
                    <a:stretch>
                      <a:fillRect/>
                    </a:stretch>
                  </pic:blipFill>
                  <pic:spPr>
                    <a:xfrm>
                      <a:off x="0" y="0"/>
                      <a:ext cx="2398310" cy="1974904"/>
                    </a:xfrm>
                    <a:prstGeom prst="rect">
                      <a:avLst/>
                    </a:prstGeom>
                  </pic:spPr>
                </pic:pic>
              </a:graphicData>
            </a:graphic>
          </wp:inline>
        </w:drawing>
      </w:r>
    </w:p>
    <w:p w14:paraId="35DE34FA" w14:textId="77777777" w:rsidR="00831758" w:rsidRDefault="00831758" w:rsidP="00475B98">
      <w:pPr>
        <w:spacing w:after="0" w:line="180" w:lineRule="exact"/>
        <w:rPr>
          <w:rFonts w:ascii="GalanoGrotesque-Regular" w:eastAsia="Times New Roman" w:hAnsi="GalanoGrotesque-Regular" w:cs="Arial"/>
          <w:sz w:val="20"/>
          <w:szCs w:val="24"/>
          <w:lang w:val="es-ES" w:eastAsia="es-ES"/>
        </w:rPr>
      </w:pPr>
      <w:r w:rsidRPr="00475B98">
        <w:rPr>
          <w:rFonts w:ascii="GalanoGrotesque-Regular" w:eastAsia="Times New Roman" w:hAnsi="GalanoGrotesque-Regular" w:cs="Arial"/>
          <w:sz w:val="16"/>
          <w:szCs w:val="20"/>
          <w:lang w:val="es-ES" w:eastAsia="es-ES"/>
        </w:rPr>
        <w:t>Fuente: Elaboración propia, Coordinación General de Gabinete y Planeación del Gobierno de Michoacán.</w:t>
      </w:r>
      <w:r w:rsidRPr="00475B98">
        <w:rPr>
          <w:rFonts w:ascii="GalanoGrotesque-Regular" w:eastAsia="Times New Roman" w:hAnsi="GalanoGrotesque-Regular" w:cs="Arial"/>
          <w:sz w:val="20"/>
          <w:szCs w:val="24"/>
          <w:lang w:val="es-ES" w:eastAsia="es-ES"/>
        </w:rPr>
        <w:t xml:space="preserve"> </w:t>
      </w:r>
    </w:p>
    <w:p w14:paraId="28A332B7" w14:textId="77777777" w:rsidR="00475B98" w:rsidRPr="00475B98" w:rsidRDefault="00475B98" w:rsidP="00475B98">
      <w:pPr>
        <w:spacing w:after="0" w:line="180" w:lineRule="exact"/>
        <w:rPr>
          <w:rFonts w:ascii="GalanoGrotesque-Regular" w:eastAsia="Times New Roman" w:hAnsi="GalanoGrotesque-Regular" w:cs="Arial"/>
          <w:sz w:val="20"/>
          <w:szCs w:val="24"/>
          <w:lang w:val="es-ES" w:eastAsia="es-ES"/>
        </w:rPr>
      </w:pPr>
    </w:p>
    <w:p w14:paraId="17DD4C6E" w14:textId="77777777" w:rsidR="00EF5C69" w:rsidRPr="00A00313" w:rsidRDefault="00831758" w:rsidP="00475B98">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El PLADIEM se complementará con programas sectoriales, especiales, institucionales y regionales con la finalidad de profundizar en las líneas estratégicas y acciones prioritarias </w:t>
      </w:r>
      <w:r w:rsidRPr="00A00313">
        <w:rPr>
          <w:rFonts w:ascii="MyriadPro-Regular" w:hAnsi="MyriadPro-Regular" w:cs="MyriadPro-Regular"/>
          <w:color w:val="414142"/>
          <w:sz w:val="20"/>
          <w:szCs w:val="20"/>
        </w:rPr>
        <w:lastRenderedPageBreak/>
        <w:t>planteadas. En la Figura 9 se presenta la relación de programas estatales que se elaborarán e</w:t>
      </w:r>
      <w:r w:rsidR="00EF5C69" w:rsidRPr="00A00313">
        <w:rPr>
          <w:rFonts w:ascii="MyriadPro-Regular" w:hAnsi="MyriadPro-Regular" w:cs="MyriadPro-Regular"/>
          <w:color w:val="414142"/>
          <w:sz w:val="20"/>
          <w:szCs w:val="20"/>
        </w:rPr>
        <w:t xml:space="preserve">n esta Administración. </w:t>
      </w:r>
    </w:p>
    <w:p w14:paraId="5AFDB901" w14:textId="77777777" w:rsidR="003050D0" w:rsidRDefault="003050D0" w:rsidP="00DE0C10">
      <w:pPr>
        <w:rPr>
          <w:rFonts w:ascii="GalanoGrotesque-Medium" w:eastAsia="Times New Roman" w:hAnsi="GalanoGrotesque-Medium" w:cs="Arial"/>
          <w:b/>
          <w:sz w:val="24"/>
          <w:szCs w:val="24"/>
          <w:lang w:val="es-ES" w:eastAsia="es-ES"/>
        </w:rPr>
      </w:pPr>
    </w:p>
    <w:p w14:paraId="23AF97F0" w14:textId="77777777" w:rsidR="003050D0" w:rsidRDefault="003050D0" w:rsidP="00DE0C10">
      <w:pPr>
        <w:rPr>
          <w:rFonts w:ascii="GalanoGrotesque-Medium" w:eastAsia="Times New Roman" w:hAnsi="GalanoGrotesque-Medium" w:cs="Arial"/>
          <w:b/>
          <w:sz w:val="24"/>
          <w:szCs w:val="24"/>
          <w:lang w:val="es-ES" w:eastAsia="es-ES"/>
        </w:rPr>
        <w:sectPr w:rsidR="003050D0" w:rsidSect="006A5968">
          <w:footnotePr>
            <w:numStart w:val="4"/>
          </w:footnotePr>
          <w:type w:val="continuous"/>
          <w:pgSz w:w="12240" w:h="15840" w:code="1"/>
          <w:pgMar w:top="1134" w:right="1418" w:bottom="1134" w:left="1418" w:header="567" w:footer="709" w:gutter="0"/>
          <w:cols w:num="2" w:space="567"/>
          <w:docGrid w:linePitch="360"/>
        </w:sectPr>
      </w:pPr>
    </w:p>
    <w:p w14:paraId="4D042F51" w14:textId="77777777" w:rsidR="00DE0C10" w:rsidRPr="00A75B3A" w:rsidRDefault="00DE0C10" w:rsidP="00DE0C10">
      <w:pPr>
        <w:spacing w:after="0" w:line="240" w:lineRule="auto"/>
        <w:jc w:val="center"/>
        <w:rPr>
          <w:rFonts w:ascii="GalanoGrotesque-Medium" w:eastAsia="Times New Roman" w:hAnsi="GalanoGrotesque-Medium" w:cs="Arial"/>
          <w:b/>
          <w:sz w:val="16"/>
          <w:szCs w:val="24"/>
          <w:lang w:val="es-ES" w:eastAsia="es-ES"/>
        </w:rPr>
      </w:pPr>
      <w:r w:rsidRPr="00A75B3A">
        <w:rPr>
          <w:rFonts w:ascii="GalanoGrotesque-Medium" w:eastAsia="Times New Roman" w:hAnsi="GalanoGrotesque-Medium" w:cs="Arial"/>
          <w:b/>
          <w:sz w:val="16"/>
          <w:szCs w:val="24"/>
          <w:lang w:val="es-ES" w:eastAsia="es-ES"/>
        </w:rPr>
        <w:lastRenderedPageBreak/>
        <w:t xml:space="preserve">Figura 9  </w:t>
      </w:r>
    </w:p>
    <w:p w14:paraId="48FA9338" w14:textId="77777777" w:rsidR="00DE0C10" w:rsidRDefault="00DE0C10" w:rsidP="00DE0C10">
      <w:pPr>
        <w:spacing w:after="0" w:line="240" w:lineRule="auto"/>
        <w:jc w:val="center"/>
        <w:rPr>
          <w:rFonts w:ascii="GalanoGrotesque-Medium" w:eastAsia="Times New Roman" w:hAnsi="GalanoGrotesque-Medium" w:cs="Arial"/>
          <w:b/>
          <w:sz w:val="16"/>
          <w:szCs w:val="24"/>
          <w:lang w:val="es-ES" w:eastAsia="es-ES"/>
        </w:rPr>
        <w:sectPr w:rsidR="00DE0C10" w:rsidSect="00DE0C10">
          <w:footnotePr>
            <w:numStart w:val="4"/>
          </w:footnotePr>
          <w:type w:val="continuous"/>
          <w:pgSz w:w="12240" w:h="15840" w:code="1"/>
          <w:pgMar w:top="1134" w:right="1418" w:bottom="1134" w:left="1418" w:header="567" w:footer="709" w:gutter="0"/>
          <w:cols w:space="567"/>
          <w:docGrid w:linePitch="360"/>
        </w:sectPr>
      </w:pPr>
      <w:r w:rsidRPr="00A75B3A">
        <w:rPr>
          <w:rFonts w:ascii="GalanoGrotesque-Medium" w:eastAsia="Times New Roman" w:hAnsi="GalanoGrotesque-Medium" w:cs="Arial"/>
          <w:b/>
          <w:sz w:val="16"/>
          <w:szCs w:val="24"/>
          <w:lang w:val="es-ES" w:eastAsia="es-ES"/>
        </w:rPr>
        <w:t>Programas de la presente Administración</w:t>
      </w:r>
    </w:p>
    <w:tbl>
      <w:tblPr>
        <w:tblpPr w:leftFromText="141" w:rightFromText="141" w:vertAnchor="page" w:horzAnchor="margin" w:tblpY="3667"/>
        <w:tblOverlap w:val="never"/>
        <w:tblW w:w="9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0"/>
        <w:gridCol w:w="1607"/>
        <w:gridCol w:w="2410"/>
        <w:gridCol w:w="2485"/>
      </w:tblGrid>
      <w:tr w:rsidR="003050D0" w:rsidRPr="001E7327" w14:paraId="4BA15031" w14:textId="77777777" w:rsidTr="003050D0">
        <w:trPr>
          <w:trHeight w:val="411"/>
        </w:trPr>
        <w:tc>
          <w:tcPr>
            <w:tcW w:w="2830" w:type="dxa"/>
            <w:shd w:val="clear" w:color="auto" w:fill="FFC000"/>
            <w:tcMar>
              <w:top w:w="72" w:type="dxa"/>
              <w:left w:w="144" w:type="dxa"/>
              <w:bottom w:w="72" w:type="dxa"/>
              <w:right w:w="144" w:type="dxa"/>
            </w:tcMar>
            <w:hideMark/>
          </w:tcPr>
          <w:p w14:paraId="6AD9AF1E" w14:textId="77777777" w:rsidR="003050D0" w:rsidRPr="001E7327" w:rsidRDefault="003050D0" w:rsidP="003050D0">
            <w:pPr>
              <w:spacing w:after="0" w:line="240" w:lineRule="auto"/>
              <w:jc w:val="center"/>
              <w:rPr>
                <w:rFonts w:ascii="GalanoGrotesque-Medium" w:hAnsi="GalanoGrotesque-Medium" w:cs="Arial"/>
                <w:sz w:val="20"/>
                <w:szCs w:val="20"/>
                <w:lang w:eastAsia="es-MX"/>
              </w:rPr>
            </w:pPr>
            <w:r w:rsidRPr="001E7327">
              <w:rPr>
                <w:rFonts w:ascii="GalanoGrotesque-Medium" w:hAnsi="GalanoGrotesque-Medium" w:cs="Arial"/>
                <w:b/>
                <w:bCs/>
                <w:color w:val="000000"/>
                <w:kern w:val="24"/>
                <w:sz w:val="20"/>
                <w:szCs w:val="20"/>
                <w:lang w:eastAsia="es-MX"/>
              </w:rPr>
              <w:t>Sectoriales</w:t>
            </w:r>
          </w:p>
        </w:tc>
        <w:tc>
          <w:tcPr>
            <w:tcW w:w="1607" w:type="dxa"/>
            <w:shd w:val="clear" w:color="auto" w:fill="FFC000"/>
            <w:tcMar>
              <w:top w:w="72" w:type="dxa"/>
              <w:left w:w="144" w:type="dxa"/>
              <w:bottom w:w="72" w:type="dxa"/>
              <w:right w:w="144" w:type="dxa"/>
            </w:tcMar>
            <w:hideMark/>
          </w:tcPr>
          <w:p w14:paraId="3C200417" w14:textId="77777777" w:rsidR="003050D0" w:rsidRPr="001E7327" w:rsidRDefault="003050D0" w:rsidP="003050D0">
            <w:pPr>
              <w:spacing w:after="0" w:line="240" w:lineRule="auto"/>
              <w:jc w:val="center"/>
              <w:rPr>
                <w:rFonts w:ascii="GalanoGrotesque-Medium" w:hAnsi="GalanoGrotesque-Medium" w:cs="Arial"/>
                <w:sz w:val="20"/>
                <w:szCs w:val="20"/>
                <w:lang w:eastAsia="es-MX"/>
              </w:rPr>
            </w:pPr>
            <w:r w:rsidRPr="001E7327">
              <w:rPr>
                <w:rFonts w:ascii="GalanoGrotesque-Medium" w:hAnsi="GalanoGrotesque-Medium" w:cs="Arial"/>
                <w:b/>
                <w:bCs/>
                <w:color w:val="000000"/>
                <w:kern w:val="24"/>
                <w:sz w:val="20"/>
                <w:szCs w:val="20"/>
                <w:lang w:eastAsia="es-MX"/>
              </w:rPr>
              <w:t xml:space="preserve">Regionales </w:t>
            </w:r>
          </w:p>
        </w:tc>
        <w:tc>
          <w:tcPr>
            <w:tcW w:w="2410" w:type="dxa"/>
            <w:shd w:val="clear" w:color="auto" w:fill="FFC000"/>
            <w:tcMar>
              <w:top w:w="72" w:type="dxa"/>
              <w:left w:w="144" w:type="dxa"/>
              <w:bottom w:w="72" w:type="dxa"/>
              <w:right w:w="144" w:type="dxa"/>
            </w:tcMar>
            <w:hideMark/>
          </w:tcPr>
          <w:p w14:paraId="3349B94D" w14:textId="77777777" w:rsidR="003050D0" w:rsidRPr="001E7327" w:rsidRDefault="003050D0" w:rsidP="003050D0">
            <w:pPr>
              <w:spacing w:after="0" w:line="240" w:lineRule="auto"/>
              <w:jc w:val="center"/>
              <w:rPr>
                <w:rFonts w:ascii="GalanoGrotesque-Medium" w:hAnsi="GalanoGrotesque-Medium" w:cs="Arial"/>
                <w:sz w:val="20"/>
                <w:szCs w:val="20"/>
                <w:lang w:eastAsia="es-MX"/>
              </w:rPr>
            </w:pPr>
            <w:r w:rsidRPr="001E7327">
              <w:rPr>
                <w:rFonts w:ascii="GalanoGrotesque-Medium" w:hAnsi="GalanoGrotesque-Medium" w:cs="Arial"/>
                <w:b/>
                <w:bCs/>
                <w:color w:val="000000"/>
                <w:kern w:val="24"/>
                <w:sz w:val="20"/>
                <w:szCs w:val="20"/>
                <w:lang w:eastAsia="es-MX"/>
              </w:rPr>
              <w:t xml:space="preserve">Especiales </w:t>
            </w:r>
          </w:p>
        </w:tc>
        <w:tc>
          <w:tcPr>
            <w:tcW w:w="2485" w:type="dxa"/>
            <w:shd w:val="clear" w:color="auto" w:fill="FFC000"/>
            <w:tcMar>
              <w:top w:w="72" w:type="dxa"/>
              <w:left w:w="144" w:type="dxa"/>
              <w:bottom w:w="72" w:type="dxa"/>
              <w:right w:w="144" w:type="dxa"/>
            </w:tcMar>
            <w:hideMark/>
          </w:tcPr>
          <w:p w14:paraId="2E569BBC" w14:textId="77777777" w:rsidR="003050D0" w:rsidRPr="001E7327" w:rsidRDefault="003050D0" w:rsidP="003050D0">
            <w:pPr>
              <w:spacing w:after="0" w:line="240" w:lineRule="auto"/>
              <w:jc w:val="center"/>
              <w:rPr>
                <w:rFonts w:ascii="GalanoGrotesque-Medium" w:hAnsi="GalanoGrotesque-Medium" w:cs="Arial"/>
                <w:sz w:val="20"/>
                <w:szCs w:val="20"/>
                <w:lang w:eastAsia="es-MX"/>
              </w:rPr>
            </w:pPr>
            <w:r w:rsidRPr="001E7327">
              <w:rPr>
                <w:rFonts w:ascii="GalanoGrotesque-Medium" w:hAnsi="GalanoGrotesque-Medium" w:cs="Arial"/>
                <w:b/>
                <w:bCs/>
                <w:color w:val="000000"/>
                <w:kern w:val="24"/>
                <w:sz w:val="20"/>
                <w:szCs w:val="20"/>
                <w:lang w:eastAsia="es-MX"/>
              </w:rPr>
              <w:t xml:space="preserve">Institucionales </w:t>
            </w:r>
          </w:p>
        </w:tc>
      </w:tr>
      <w:tr w:rsidR="003050D0" w:rsidRPr="001E7327" w14:paraId="72AA3A94" w14:textId="77777777" w:rsidTr="003050D0">
        <w:trPr>
          <w:trHeight w:val="205"/>
        </w:trPr>
        <w:tc>
          <w:tcPr>
            <w:tcW w:w="2830" w:type="dxa"/>
            <w:shd w:val="clear" w:color="auto" w:fill="FFE8CB"/>
            <w:tcMar>
              <w:top w:w="72" w:type="dxa"/>
              <w:left w:w="144" w:type="dxa"/>
              <w:bottom w:w="72" w:type="dxa"/>
              <w:right w:w="144" w:type="dxa"/>
            </w:tcMar>
            <w:hideMark/>
          </w:tcPr>
          <w:p w14:paraId="068E39ED"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Salud </w:t>
            </w:r>
          </w:p>
        </w:tc>
        <w:tc>
          <w:tcPr>
            <w:tcW w:w="1607" w:type="dxa"/>
            <w:shd w:val="clear" w:color="auto" w:fill="FFE8CB"/>
            <w:tcMar>
              <w:top w:w="72" w:type="dxa"/>
              <w:left w:w="144" w:type="dxa"/>
              <w:bottom w:w="72" w:type="dxa"/>
              <w:right w:w="144" w:type="dxa"/>
            </w:tcMar>
            <w:hideMark/>
          </w:tcPr>
          <w:p w14:paraId="1950EF93" w14:textId="77777777" w:rsidR="003050D0" w:rsidRPr="001E7327" w:rsidRDefault="003050D0" w:rsidP="003050D0">
            <w:pPr>
              <w:spacing w:after="0" w:line="240" w:lineRule="auto"/>
              <w:rPr>
                <w:rFonts w:ascii="GalanoGrotesque-Medium" w:hAnsi="GalanoGrotesque-Medium" w:cs="Arial"/>
                <w:sz w:val="16"/>
                <w:szCs w:val="16"/>
                <w:lang w:eastAsia="es-MX"/>
              </w:rPr>
            </w:pPr>
            <w:r>
              <w:rPr>
                <w:rFonts w:ascii="GalanoGrotesque-Medium" w:hAnsi="GalanoGrotesque-Medium" w:cs="Arial"/>
                <w:b/>
                <w:bCs/>
                <w:color w:val="000000"/>
                <w:kern w:val="24"/>
                <w:sz w:val="16"/>
                <w:szCs w:val="16"/>
                <w:lang w:eastAsia="es-MX"/>
              </w:rPr>
              <w:t>Lerma-Chapala</w:t>
            </w:r>
          </w:p>
        </w:tc>
        <w:tc>
          <w:tcPr>
            <w:tcW w:w="2410" w:type="dxa"/>
            <w:shd w:val="clear" w:color="auto" w:fill="FFE8CB"/>
            <w:tcMar>
              <w:top w:w="72" w:type="dxa"/>
              <w:left w:w="144" w:type="dxa"/>
              <w:bottom w:w="72" w:type="dxa"/>
              <w:right w:w="144" w:type="dxa"/>
            </w:tcMar>
            <w:hideMark/>
          </w:tcPr>
          <w:p w14:paraId="51038FE7"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Migrante </w:t>
            </w:r>
          </w:p>
        </w:tc>
        <w:tc>
          <w:tcPr>
            <w:tcW w:w="2485" w:type="dxa"/>
            <w:shd w:val="clear" w:color="auto" w:fill="FFE8CB"/>
            <w:tcMar>
              <w:top w:w="72" w:type="dxa"/>
              <w:left w:w="144" w:type="dxa"/>
              <w:bottom w:w="72" w:type="dxa"/>
              <w:right w:w="144" w:type="dxa"/>
            </w:tcMar>
            <w:hideMark/>
          </w:tcPr>
          <w:p w14:paraId="10B45EEC"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Agua </w:t>
            </w:r>
          </w:p>
        </w:tc>
      </w:tr>
      <w:tr w:rsidR="003050D0" w:rsidRPr="001E7327" w14:paraId="7F76CCFC" w14:textId="77777777" w:rsidTr="003050D0">
        <w:trPr>
          <w:trHeight w:val="151"/>
        </w:trPr>
        <w:tc>
          <w:tcPr>
            <w:tcW w:w="2830" w:type="dxa"/>
            <w:shd w:val="clear" w:color="auto" w:fill="FFF4E7"/>
            <w:tcMar>
              <w:top w:w="72" w:type="dxa"/>
              <w:left w:w="144" w:type="dxa"/>
              <w:bottom w:w="72" w:type="dxa"/>
              <w:right w:w="144" w:type="dxa"/>
            </w:tcMar>
            <w:hideMark/>
          </w:tcPr>
          <w:p w14:paraId="07963E79"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Educación </w:t>
            </w:r>
          </w:p>
        </w:tc>
        <w:tc>
          <w:tcPr>
            <w:tcW w:w="1607" w:type="dxa"/>
            <w:shd w:val="clear" w:color="auto" w:fill="FFF4E7"/>
            <w:tcMar>
              <w:top w:w="72" w:type="dxa"/>
              <w:left w:w="144" w:type="dxa"/>
              <w:bottom w:w="72" w:type="dxa"/>
              <w:right w:w="144" w:type="dxa"/>
            </w:tcMar>
            <w:hideMark/>
          </w:tcPr>
          <w:p w14:paraId="29E7616E"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Bajío </w:t>
            </w:r>
          </w:p>
        </w:tc>
        <w:tc>
          <w:tcPr>
            <w:tcW w:w="2410" w:type="dxa"/>
            <w:shd w:val="clear" w:color="auto" w:fill="FFF4E7"/>
            <w:tcMar>
              <w:top w:w="72" w:type="dxa"/>
              <w:left w:w="144" w:type="dxa"/>
              <w:bottom w:w="72" w:type="dxa"/>
              <w:right w:w="144" w:type="dxa"/>
            </w:tcMar>
            <w:hideMark/>
          </w:tcPr>
          <w:p w14:paraId="2C9178A7"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Pueblos Indígenas </w:t>
            </w:r>
          </w:p>
        </w:tc>
        <w:tc>
          <w:tcPr>
            <w:tcW w:w="2485" w:type="dxa"/>
            <w:shd w:val="clear" w:color="auto" w:fill="FFF4E7"/>
            <w:tcMar>
              <w:top w:w="72" w:type="dxa"/>
              <w:left w:w="144" w:type="dxa"/>
              <w:bottom w:w="72" w:type="dxa"/>
              <w:right w:w="144" w:type="dxa"/>
            </w:tcMar>
            <w:hideMark/>
          </w:tcPr>
          <w:p w14:paraId="63CE6147"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Forestal y de Suelos </w:t>
            </w:r>
          </w:p>
        </w:tc>
      </w:tr>
      <w:tr w:rsidR="003050D0" w:rsidRPr="001E7327" w14:paraId="589C0D43" w14:textId="77777777" w:rsidTr="003050D0">
        <w:trPr>
          <w:trHeight w:val="151"/>
        </w:trPr>
        <w:tc>
          <w:tcPr>
            <w:tcW w:w="2830" w:type="dxa"/>
            <w:shd w:val="clear" w:color="auto" w:fill="FFF4E7"/>
            <w:tcMar>
              <w:top w:w="72" w:type="dxa"/>
              <w:left w:w="144" w:type="dxa"/>
              <w:bottom w:w="72" w:type="dxa"/>
              <w:right w:w="144" w:type="dxa"/>
            </w:tcMar>
          </w:tcPr>
          <w:p w14:paraId="0BA2EAD8" w14:textId="77777777" w:rsidR="003050D0" w:rsidRPr="001E7327" w:rsidRDefault="003050D0" w:rsidP="003050D0">
            <w:pPr>
              <w:spacing w:after="0" w:line="240" w:lineRule="auto"/>
              <w:rPr>
                <w:rFonts w:ascii="GalanoGrotesque-Medium" w:hAnsi="GalanoGrotesque-Medium" w:cs="Arial"/>
                <w:b/>
                <w:bCs/>
                <w:color w:val="000000"/>
                <w:kern w:val="24"/>
                <w:sz w:val="16"/>
                <w:szCs w:val="16"/>
                <w:lang w:eastAsia="es-MX"/>
              </w:rPr>
            </w:pPr>
            <w:r w:rsidRPr="001E7327">
              <w:rPr>
                <w:rFonts w:ascii="GalanoGrotesque-Medium" w:hAnsi="GalanoGrotesque-Medium" w:cs="Arial"/>
                <w:b/>
                <w:bCs/>
                <w:color w:val="000000"/>
                <w:kern w:val="24"/>
                <w:sz w:val="16"/>
                <w:szCs w:val="16"/>
                <w:lang w:eastAsia="es-MX"/>
              </w:rPr>
              <w:t>Cultura</w:t>
            </w:r>
          </w:p>
        </w:tc>
        <w:tc>
          <w:tcPr>
            <w:tcW w:w="1607" w:type="dxa"/>
            <w:shd w:val="clear" w:color="auto" w:fill="FFF4E7"/>
            <w:tcMar>
              <w:top w:w="72" w:type="dxa"/>
              <w:left w:w="144" w:type="dxa"/>
              <w:bottom w:w="72" w:type="dxa"/>
              <w:right w:w="144" w:type="dxa"/>
            </w:tcMar>
          </w:tcPr>
          <w:p w14:paraId="0418075C" w14:textId="77777777" w:rsidR="003050D0" w:rsidRPr="001E7327" w:rsidRDefault="003050D0" w:rsidP="003050D0">
            <w:pPr>
              <w:spacing w:after="0" w:line="240" w:lineRule="auto"/>
              <w:rPr>
                <w:rFonts w:ascii="GalanoGrotesque-Medium" w:hAnsi="GalanoGrotesque-Medium" w:cs="Arial"/>
                <w:b/>
                <w:bCs/>
                <w:color w:val="000000"/>
                <w:kern w:val="24"/>
                <w:sz w:val="16"/>
                <w:szCs w:val="16"/>
                <w:lang w:eastAsia="es-MX"/>
              </w:rPr>
            </w:pPr>
            <w:proofErr w:type="spellStart"/>
            <w:r w:rsidRPr="001E7327">
              <w:rPr>
                <w:rFonts w:ascii="GalanoGrotesque-Medium" w:hAnsi="GalanoGrotesque-Medium" w:cs="Arial"/>
                <w:b/>
                <w:bCs/>
                <w:color w:val="000000"/>
                <w:kern w:val="24"/>
                <w:sz w:val="16"/>
                <w:szCs w:val="16"/>
                <w:lang w:eastAsia="es-MX"/>
              </w:rPr>
              <w:t>Cuitzeo</w:t>
            </w:r>
            <w:proofErr w:type="spellEnd"/>
            <w:r w:rsidRPr="001E7327">
              <w:rPr>
                <w:rFonts w:ascii="GalanoGrotesque-Medium" w:hAnsi="GalanoGrotesque-Medium" w:cs="Arial"/>
                <w:b/>
                <w:bCs/>
                <w:color w:val="000000"/>
                <w:kern w:val="24"/>
                <w:sz w:val="16"/>
                <w:szCs w:val="16"/>
                <w:lang w:eastAsia="es-MX"/>
              </w:rPr>
              <w:t xml:space="preserve"> </w:t>
            </w:r>
          </w:p>
        </w:tc>
        <w:tc>
          <w:tcPr>
            <w:tcW w:w="2410" w:type="dxa"/>
            <w:shd w:val="clear" w:color="auto" w:fill="FFF4E7"/>
            <w:tcMar>
              <w:top w:w="72" w:type="dxa"/>
              <w:left w:w="144" w:type="dxa"/>
              <w:bottom w:w="72" w:type="dxa"/>
              <w:right w:w="144" w:type="dxa"/>
            </w:tcMar>
          </w:tcPr>
          <w:p w14:paraId="28DF1250" w14:textId="77777777" w:rsidR="003050D0" w:rsidRPr="001E7327" w:rsidRDefault="003050D0" w:rsidP="003050D0">
            <w:pPr>
              <w:spacing w:after="0" w:line="240" w:lineRule="auto"/>
              <w:rPr>
                <w:rFonts w:ascii="GalanoGrotesque-Medium" w:hAnsi="GalanoGrotesque-Medium" w:cs="Arial"/>
                <w:b/>
                <w:bCs/>
                <w:color w:val="000000"/>
                <w:kern w:val="24"/>
                <w:sz w:val="16"/>
                <w:szCs w:val="16"/>
                <w:lang w:eastAsia="es-MX"/>
              </w:rPr>
            </w:pPr>
            <w:r w:rsidRPr="001E7327">
              <w:rPr>
                <w:rFonts w:ascii="GalanoGrotesque-Medium" w:hAnsi="GalanoGrotesque-Medium" w:cs="Arial"/>
                <w:b/>
                <w:bCs/>
                <w:color w:val="000000"/>
                <w:kern w:val="24"/>
                <w:sz w:val="16"/>
                <w:szCs w:val="16"/>
                <w:lang w:eastAsia="es-MX"/>
              </w:rPr>
              <w:t xml:space="preserve">Jóvenes </w:t>
            </w:r>
          </w:p>
        </w:tc>
        <w:tc>
          <w:tcPr>
            <w:tcW w:w="2485" w:type="dxa"/>
            <w:shd w:val="clear" w:color="auto" w:fill="FFF4E7"/>
            <w:tcMar>
              <w:top w:w="72" w:type="dxa"/>
              <w:left w:w="144" w:type="dxa"/>
              <w:bottom w:w="72" w:type="dxa"/>
              <w:right w:w="144" w:type="dxa"/>
            </w:tcMar>
          </w:tcPr>
          <w:p w14:paraId="10CE6241" w14:textId="77777777" w:rsidR="003050D0" w:rsidRPr="001E7327" w:rsidRDefault="003050D0" w:rsidP="003050D0">
            <w:pPr>
              <w:spacing w:after="0" w:line="240" w:lineRule="auto"/>
              <w:rPr>
                <w:rFonts w:ascii="GalanoGrotesque-Medium" w:hAnsi="GalanoGrotesque-Medium" w:cs="Arial"/>
                <w:b/>
                <w:bCs/>
                <w:color w:val="000000"/>
                <w:kern w:val="24"/>
                <w:sz w:val="16"/>
                <w:szCs w:val="16"/>
                <w:lang w:eastAsia="es-MX"/>
              </w:rPr>
            </w:pPr>
            <w:r w:rsidRPr="001E7327">
              <w:rPr>
                <w:rFonts w:ascii="GalanoGrotesque-Medium" w:hAnsi="GalanoGrotesque-Medium" w:cs="Arial"/>
                <w:b/>
                <w:bCs/>
                <w:color w:val="000000"/>
                <w:kern w:val="24"/>
                <w:sz w:val="16"/>
                <w:szCs w:val="16"/>
                <w:lang w:eastAsia="es-MX"/>
              </w:rPr>
              <w:t xml:space="preserve">Pesca y Acuacultura </w:t>
            </w:r>
          </w:p>
        </w:tc>
      </w:tr>
      <w:tr w:rsidR="003050D0" w:rsidRPr="001E7327" w14:paraId="6EBB855D" w14:textId="77777777" w:rsidTr="003050D0">
        <w:trPr>
          <w:trHeight w:val="202"/>
        </w:trPr>
        <w:tc>
          <w:tcPr>
            <w:tcW w:w="2830" w:type="dxa"/>
            <w:shd w:val="clear" w:color="auto" w:fill="FFE8CB"/>
            <w:tcMar>
              <w:top w:w="72" w:type="dxa"/>
              <w:left w:w="144" w:type="dxa"/>
              <w:bottom w:w="72" w:type="dxa"/>
              <w:right w:w="144" w:type="dxa"/>
            </w:tcMar>
            <w:hideMark/>
          </w:tcPr>
          <w:p w14:paraId="75B59F46"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Desarrollo Social </w:t>
            </w:r>
          </w:p>
        </w:tc>
        <w:tc>
          <w:tcPr>
            <w:tcW w:w="1607" w:type="dxa"/>
            <w:shd w:val="clear" w:color="auto" w:fill="FFE8CB"/>
            <w:tcMar>
              <w:top w:w="72" w:type="dxa"/>
              <w:left w:w="144" w:type="dxa"/>
              <w:bottom w:w="72" w:type="dxa"/>
              <w:right w:w="144" w:type="dxa"/>
            </w:tcMar>
          </w:tcPr>
          <w:p w14:paraId="53AC3BC3"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Oriente </w:t>
            </w:r>
          </w:p>
        </w:tc>
        <w:tc>
          <w:tcPr>
            <w:tcW w:w="2410" w:type="dxa"/>
            <w:shd w:val="clear" w:color="auto" w:fill="FFE8CB"/>
            <w:tcMar>
              <w:top w:w="72" w:type="dxa"/>
              <w:left w:w="144" w:type="dxa"/>
              <w:bottom w:w="72" w:type="dxa"/>
              <w:right w:w="144" w:type="dxa"/>
            </w:tcMar>
          </w:tcPr>
          <w:p w14:paraId="117D8115"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Igualdad Sustantiva y Desarrollo de las Mujeres </w:t>
            </w:r>
          </w:p>
        </w:tc>
        <w:tc>
          <w:tcPr>
            <w:tcW w:w="2485" w:type="dxa"/>
            <w:shd w:val="clear" w:color="auto" w:fill="FFE8CB"/>
            <w:tcMar>
              <w:top w:w="72" w:type="dxa"/>
              <w:left w:w="144" w:type="dxa"/>
              <w:bottom w:w="72" w:type="dxa"/>
              <w:right w:w="144" w:type="dxa"/>
            </w:tcMar>
          </w:tcPr>
          <w:p w14:paraId="16CDC2EC"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Vivienda </w:t>
            </w:r>
          </w:p>
        </w:tc>
      </w:tr>
      <w:tr w:rsidR="003050D0" w:rsidRPr="001E7327" w14:paraId="60C31B4B" w14:textId="77777777" w:rsidTr="003050D0">
        <w:trPr>
          <w:trHeight w:val="385"/>
        </w:trPr>
        <w:tc>
          <w:tcPr>
            <w:tcW w:w="2830" w:type="dxa"/>
            <w:shd w:val="clear" w:color="auto" w:fill="FFF4E7"/>
            <w:tcMar>
              <w:top w:w="72" w:type="dxa"/>
              <w:left w:w="144" w:type="dxa"/>
              <w:bottom w:w="72" w:type="dxa"/>
              <w:right w:w="144" w:type="dxa"/>
            </w:tcMar>
            <w:hideMark/>
          </w:tcPr>
          <w:p w14:paraId="2AF83261"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Desarrollo Económico </w:t>
            </w:r>
          </w:p>
        </w:tc>
        <w:tc>
          <w:tcPr>
            <w:tcW w:w="1607" w:type="dxa"/>
            <w:shd w:val="clear" w:color="auto" w:fill="FFF4E7"/>
            <w:tcMar>
              <w:top w:w="72" w:type="dxa"/>
              <w:left w:w="144" w:type="dxa"/>
              <w:bottom w:w="72" w:type="dxa"/>
              <w:right w:w="144" w:type="dxa"/>
            </w:tcMar>
          </w:tcPr>
          <w:p w14:paraId="0EB174CE"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Tepalcatepec </w:t>
            </w:r>
          </w:p>
        </w:tc>
        <w:tc>
          <w:tcPr>
            <w:tcW w:w="2410" w:type="dxa"/>
            <w:shd w:val="clear" w:color="auto" w:fill="FFF4E7"/>
            <w:tcMar>
              <w:top w:w="72" w:type="dxa"/>
              <w:left w:w="144" w:type="dxa"/>
              <w:bottom w:w="72" w:type="dxa"/>
              <w:right w:w="144" w:type="dxa"/>
            </w:tcMar>
          </w:tcPr>
          <w:p w14:paraId="48DAB3D7"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Derechos Humanos </w:t>
            </w:r>
          </w:p>
        </w:tc>
        <w:tc>
          <w:tcPr>
            <w:tcW w:w="2485" w:type="dxa"/>
            <w:shd w:val="clear" w:color="auto" w:fill="FFF4E7"/>
            <w:tcMar>
              <w:top w:w="72" w:type="dxa"/>
              <w:left w:w="144" w:type="dxa"/>
              <w:bottom w:w="72" w:type="dxa"/>
              <w:right w:w="144" w:type="dxa"/>
            </w:tcMar>
          </w:tcPr>
          <w:p w14:paraId="09321101"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Desarrollo Integral de la Familia </w:t>
            </w:r>
          </w:p>
        </w:tc>
      </w:tr>
      <w:tr w:rsidR="003050D0" w:rsidRPr="001E7327" w14:paraId="1D1E8782" w14:textId="77777777" w:rsidTr="003050D0">
        <w:trPr>
          <w:trHeight w:val="306"/>
        </w:trPr>
        <w:tc>
          <w:tcPr>
            <w:tcW w:w="2830" w:type="dxa"/>
            <w:shd w:val="clear" w:color="auto" w:fill="FFE8CB"/>
            <w:tcMar>
              <w:top w:w="72" w:type="dxa"/>
              <w:left w:w="144" w:type="dxa"/>
              <w:bottom w:w="72" w:type="dxa"/>
              <w:right w:w="144" w:type="dxa"/>
            </w:tcMar>
            <w:hideMark/>
          </w:tcPr>
          <w:p w14:paraId="37FAF479"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Desarrollo Rural y Agroalimentario </w:t>
            </w:r>
          </w:p>
        </w:tc>
        <w:tc>
          <w:tcPr>
            <w:tcW w:w="1607" w:type="dxa"/>
            <w:shd w:val="clear" w:color="auto" w:fill="FFE8CB"/>
            <w:tcMar>
              <w:top w:w="72" w:type="dxa"/>
              <w:left w:w="144" w:type="dxa"/>
              <w:bottom w:w="72" w:type="dxa"/>
              <w:right w:w="144" w:type="dxa"/>
            </w:tcMar>
          </w:tcPr>
          <w:p w14:paraId="318192D6"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Purépecha </w:t>
            </w:r>
          </w:p>
        </w:tc>
        <w:tc>
          <w:tcPr>
            <w:tcW w:w="2410" w:type="dxa"/>
            <w:shd w:val="clear" w:color="auto" w:fill="FFE8CB"/>
            <w:tcMar>
              <w:top w:w="72" w:type="dxa"/>
              <w:left w:w="144" w:type="dxa"/>
              <w:bottom w:w="72" w:type="dxa"/>
              <w:right w:w="144" w:type="dxa"/>
            </w:tcMar>
          </w:tcPr>
          <w:p w14:paraId="52EADD27"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Innovación, Ciencia y Tecnología </w:t>
            </w:r>
          </w:p>
        </w:tc>
        <w:tc>
          <w:tcPr>
            <w:tcW w:w="2485" w:type="dxa"/>
            <w:shd w:val="clear" w:color="auto" w:fill="FFE8CB"/>
            <w:tcMar>
              <w:top w:w="72" w:type="dxa"/>
              <w:left w:w="144" w:type="dxa"/>
              <w:bottom w:w="72" w:type="dxa"/>
              <w:right w:w="144" w:type="dxa"/>
            </w:tcMar>
          </w:tcPr>
          <w:p w14:paraId="173310F7"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Artesanal </w:t>
            </w:r>
          </w:p>
        </w:tc>
      </w:tr>
      <w:tr w:rsidR="003050D0" w:rsidRPr="001E7327" w14:paraId="3A8918B3" w14:textId="77777777" w:rsidTr="003050D0">
        <w:trPr>
          <w:trHeight w:val="271"/>
        </w:trPr>
        <w:tc>
          <w:tcPr>
            <w:tcW w:w="2830" w:type="dxa"/>
            <w:shd w:val="clear" w:color="auto" w:fill="FFF4E7"/>
            <w:tcMar>
              <w:top w:w="72" w:type="dxa"/>
              <w:left w:w="144" w:type="dxa"/>
              <w:bottom w:w="72" w:type="dxa"/>
              <w:right w:w="144" w:type="dxa"/>
            </w:tcMar>
            <w:hideMark/>
          </w:tcPr>
          <w:p w14:paraId="37414D69"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Gobernabilidad y Paz Social </w:t>
            </w:r>
          </w:p>
        </w:tc>
        <w:tc>
          <w:tcPr>
            <w:tcW w:w="1607" w:type="dxa"/>
            <w:shd w:val="clear" w:color="auto" w:fill="FFF4E7"/>
            <w:tcMar>
              <w:top w:w="72" w:type="dxa"/>
              <w:left w:w="144" w:type="dxa"/>
              <w:bottom w:w="72" w:type="dxa"/>
              <w:right w:w="144" w:type="dxa"/>
            </w:tcMar>
          </w:tcPr>
          <w:p w14:paraId="5F437E0C"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Pátzcuaro-</w:t>
            </w:r>
            <w:proofErr w:type="spellStart"/>
            <w:r w:rsidRPr="001E7327">
              <w:rPr>
                <w:rFonts w:ascii="GalanoGrotesque-Medium" w:hAnsi="GalanoGrotesque-Medium" w:cs="Arial"/>
                <w:b/>
                <w:bCs/>
                <w:color w:val="000000"/>
                <w:kern w:val="24"/>
                <w:sz w:val="16"/>
                <w:szCs w:val="16"/>
                <w:lang w:eastAsia="es-MX"/>
              </w:rPr>
              <w:t>Zirahuén</w:t>
            </w:r>
            <w:proofErr w:type="spellEnd"/>
            <w:r w:rsidRPr="001E7327">
              <w:rPr>
                <w:rFonts w:ascii="GalanoGrotesque-Medium" w:hAnsi="GalanoGrotesque-Medium" w:cs="Arial"/>
                <w:b/>
                <w:bCs/>
                <w:color w:val="000000"/>
                <w:kern w:val="24"/>
                <w:sz w:val="16"/>
                <w:szCs w:val="16"/>
                <w:lang w:eastAsia="es-MX"/>
              </w:rPr>
              <w:t xml:space="preserve"> </w:t>
            </w:r>
          </w:p>
        </w:tc>
        <w:tc>
          <w:tcPr>
            <w:tcW w:w="2410" w:type="dxa"/>
            <w:shd w:val="clear" w:color="auto" w:fill="FFF4E7"/>
            <w:tcMar>
              <w:top w:w="72" w:type="dxa"/>
              <w:left w:w="144" w:type="dxa"/>
              <w:bottom w:w="72" w:type="dxa"/>
              <w:right w:w="144" w:type="dxa"/>
            </w:tcMar>
          </w:tcPr>
          <w:p w14:paraId="3B478872"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Cultura Física y Deporte</w:t>
            </w:r>
          </w:p>
        </w:tc>
        <w:tc>
          <w:tcPr>
            <w:tcW w:w="2485" w:type="dxa"/>
            <w:shd w:val="clear" w:color="auto" w:fill="FFF4E7"/>
            <w:tcMar>
              <w:top w:w="72" w:type="dxa"/>
              <w:left w:w="144" w:type="dxa"/>
              <w:bottom w:w="72" w:type="dxa"/>
              <w:right w:w="144" w:type="dxa"/>
            </w:tcMar>
          </w:tcPr>
          <w:p w14:paraId="424A6172"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Financiamiento para el Desarrollo </w:t>
            </w:r>
          </w:p>
        </w:tc>
      </w:tr>
      <w:tr w:rsidR="003050D0" w:rsidRPr="001E7327" w14:paraId="0FC85279" w14:textId="77777777" w:rsidTr="003050D0">
        <w:trPr>
          <w:trHeight w:val="309"/>
        </w:trPr>
        <w:tc>
          <w:tcPr>
            <w:tcW w:w="2830" w:type="dxa"/>
            <w:shd w:val="clear" w:color="auto" w:fill="FFE8CB"/>
            <w:tcMar>
              <w:top w:w="72" w:type="dxa"/>
              <w:left w:w="144" w:type="dxa"/>
              <w:bottom w:w="72" w:type="dxa"/>
              <w:right w:w="144" w:type="dxa"/>
            </w:tcMar>
            <w:hideMark/>
          </w:tcPr>
          <w:p w14:paraId="38854D0A"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Infraestructura </w:t>
            </w:r>
          </w:p>
        </w:tc>
        <w:tc>
          <w:tcPr>
            <w:tcW w:w="1607" w:type="dxa"/>
            <w:shd w:val="clear" w:color="auto" w:fill="FFE8CB"/>
            <w:tcMar>
              <w:top w:w="72" w:type="dxa"/>
              <w:left w:w="144" w:type="dxa"/>
              <w:bottom w:w="72" w:type="dxa"/>
              <w:right w:w="144" w:type="dxa"/>
            </w:tcMar>
          </w:tcPr>
          <w:p w14:paraId="6CE95372"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Tierra Caliente </w:t>
            </w:r>
          </w:p>
        </w:tc>
        <w:tc>
          <w:tcPr>
            <w:tcW w:w="2410" w:type="dxa"/>
            <w:shd w:val="clear" w:color="auto" w:fill="FFE8CB"/>
            <w:tcMar>
              <w:top w:w="72" w:type="dxa"/>
              <w:left w:w="144" w:type="dxa"/>
              <w:bottom w:w="72" w:type="dxa"/>
              <w:right w:w="144" w:type="dxa"/>
            </w:tcMar>
          </w:tcPr>
          <w:p w14:paraId="4E331BF2" w14:textId="77777777" w:rsidR="003050D0" w:rsidRPr="001E7327" w:rsidRDefault="003050D0" w:rsidP="003050D0">
            <w:pPr>
              <w:spacing w:after="0" w:line="240" w:lineRule="auto"/>
              <w:rPr>
                <w:rFonts w:ascii="GalanoGrotesque-Medium" w:hAnsi="GalanoGrotesque-Medium" w:cs="Arial"/>
                <w:sz w:val="16"/>
                <w:szCs w:val="16"/>
                <w:lang w:eastAsia="es-MX"/>
              </w:rPr>
            </w:pPr>
          </w:p>
        </w:tc>
        <w:tc>
          <w:tcPr>
            <w:tcW w:w="2485" w:type="dxa"/>
            <w:shd w:val="clear" w:color="auto" w:fill="FFE8CB"/>
            <w:tcMar>
              <w:top w:w="72" w:type="dxa"/>
              <w:left w:w="144" w:type="dxa"/>
              <w:bottom w:w="72" w:type="dxa"/>
              <w:right w:w="144" w:type="dxa"/>
            </w:tcMar>
          </w:tcPr>
          <w:p w14:paraId="19C40389"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Procuración y Protección Ambiental </w:t>
            </w:r>
          </w:p>
        </w:tc>
      </w:tr>
      <w:tr w:rsidR="003050D0" w:rsidRPr="001E7327" w14:paraId="553B3196" w14:textId="77777777" w:rsidTr="003050D0">
        <w:trPr>
          <w:trHeight w:val="314"/>
        </w:trPr>
        <w:tc>
          <w:tcPr>
            <w:tcW w:w="2830" w:type="dxa"/>
            <w:shd w:val="clear" w:color="auto" w:fill="FFF4E7"/>
            <w:tcMar>
              <w:top w:w="72" w:type="dxa"/>
              <w:left w:w="144" w:type="dxa"/>
              <w:bottom w:w="72" w:type="dxa"/>
              <w:right w:w="144" w:type="dxa"/>
            </w:tcMar>
            <w:hideMark/>
          </w:tcPr>
          <w:p w14:paraId="1310AC2C"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Medio Ambiente , Recursos  Naturales y Cambio Climático </w:t>
            </w:r>
          </w:p>
        </w:tc>
        <w:tc>
          <w:tcPr>
            <w:tcW w:w="1607" w:type="dxa"/>
            <w:shd w:val="clear" w:color="auto" w:fill="FFF4E7"/>
            <w:tcMar>
              <w:top w:w="72" w:type="dxa"/>
              <w:left w:w="144" w:type="dxa"/>
              <w:bottom w:w="72" w:type="dxa"/>
              <w:right w:w="144" w:type="dxa"/>
            </w:tcMar>
          </w:tcPr>
          <w:p w14:paraId="01A9E104"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Sierra Costa </w:t>
            </w:r>
          </w:p>
        </w:tc>
        <w:tc>
          <w:tcPr>
            <w:tcW w:w="2410" w:type="dxa"/>
            <w:shd w:val="clear" w:color="auto" w:fill="FFF4E7"/>
            <w:tcMar>
              <w:top w:w="72" w:type="dxa"/>
              <w:left w:w="144" w:type="dxa"/>
              <w:bottom w:w="72" w:type="dxa"/>
              <w:right w:w="144" w:type="dxa"/>
            </w:tcMar>
          </w:tcPr>
          <w:p w14:paraId="6D29FF70" w14:textId="77777777" w:rsidR="003050D0" w:rsidRPr="001E7327" w:rsidRDefault="003050D0" w:rsidP="003050D0">
            <w:pPr>
              <w:spacing w:after="0" w:line="240" w:lineRule="auto"/>
              <w:rPr>
                <w:rFonts w:ascii="GalanoGrotesque-Medium" w:hAnsi="GalanoGrotesque-Medium" w:cs="Arial"/>
                <w:sz w:val="16"/>
                <w:szCs w:val="16"/>
                <w:lang w:eastAsia="es-MX"/>
              </w:rPr>
            </w:pPr>
          </w:p>
        </w:tc>
        <w:tc>
          <w:tcPr>
            <w:tcW w:w="2485" w:type="dxa"/>
            <w:shd w:val="clear" w:color="auto" w:fill="FFF4E7"/>
            <w:tcMar>
              <w:top w:w="72" w:type="dxa"/>
              <w:left w:w="144" w:type="dxa"/>
              <w:bottom w:w="72" w:type="dxa"/>
              <w:right w:w="144" w:type="dxa"/>
            </w:tcMar>
          </w:tcPr>
          <w:p w14:paraId="7F39533C"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Comercialización Agropecuaria </w:t>
            </w:r>
          </w:p>
        </w:tc>
      </w:tr>
      <w:tr w:rsidR="003050D0" w:rsidRPr="001E7327" w14:paraId="6405F5A7" w14:textId="77777777" w:rsidTr="003050D0">
        <w:trPr>
          <w:trHeight w:val="239"/>
        </w:trPr>
        <w:tc>
          <w:tcPr>
            <w:tcW w:w="2830" w:type="dxa"/>
            <w:shd w:val="clear" w:color="auto" w:fill="FFE8CB"/>
            <w:tcMar>
              <w:top w:w="72" w:type="dxa"/>
              <w:left w:w="144" w:type="dxa"/>
              <w:bottom w:w="72" w:type="dxa"/>
              <w:right w:w="144" w:type="dxa"/>
            </w:tcMar>
            <w:hideMark/>
          </w:tcPr>
          <w:p w14:paraId="5AEA2D05"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Turismo</w:t>
            </w:r>
          </w:p>
        </w:tc>
        <w:tc>
          <w:tcPr>
            <w:tcW w:w="1607" w:type="dxa"/>
            <w:shd w:val="clear" w:color="auto" w:fill="FFE8CB"/>
            <w:tcMar>
              <w:top w:w="72" w:type="dxa"/>
              <w:left w:w="144" w:type="dxa"/>
              <w:bottom w:w="72" w:type="dxa"/>
              <w:right w:w="144" w:type="dxa"/>
            </w:tcMar>
          </w:tcPr>
          <w:p w14:paraId="64CDF760"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Infiernillo </w:t>
            </w:r>
          </w:p>
        </w:tc>
        <w:tc>
          <w:tcPr>
            <w:tcW w:w="2410" w:type="dxa"/>
            <w:shd w:val="clear" w:color="auto" w:fill="FFE8CB"/>
            <w:tcMar>
              <w:top w:w="72" w:type="dxa"/>
              <w:left w:w="144" w:type="dxa"/>
              <w:bottom w:w="72" w:type="dxa"/>
              <w:right w:w="144" w:type="dxa"/>
            </w:tcMar>
          </w:tcPr>
          <w:p w14:paraId="4C98008E" w14:textId="77777777" w:rsidR="003050D0" w:rsidRPr="001E7327" w:rsidRDefault="003050D0" w:rsidP="003050D0">
            <w:pPr>
              <w:spacing w:after="0" w:line="240" w:lineRule="auto"/>
              <w:rPr>
                <w:rFonts w:ascii="GalanoGrotesque-Medium" w:hAnsi="GalanoGrotesque-Medium" w:cs="Arial"/>
                <w:sz w:val="16"/>
                <w:szCs w:val="16"/>
                <w:lang w:eastAsia="es-MX"/>
              </w:rPr>
            </w:pPr>
          </w:p>
        </w:tc>
        <w:tc>
          <w:tcPr>
            <w:tcW w:w="2485" w:type="dxa"/>
            <w:shd w:val="clear" w:color="auto" w:fill="FFE8CB"/>
            <w:tcMar>
              <w:top w:w="72" w:type="dxa"/>
              <w:left w:w="144" w:type="dxa"/>
              <w:bottom w:w="72" w:type="dxa"/>
              <w:right w:w="144" w:type="dxa"/>
            </w:tcMar>
          </w:tcPr>
          <w:p w14:paraId="7E5A29E3"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Parques Industriales </w:t>
            </w:r>
          </w:p>
        </w:tc>
      </w:tr>
      <w:tr w:rsidR="003050D0" w:rsidRPr="001E7327" w14:paraId="523384B7" w14:textId="77777777" w:rsidTr="003050D0">
        <w:trPr>
          <w:trHeight w:val="206"/>
        </w:trPr>
        <w:tc>
          <w:tcPr>
            <w:tcW w:w="2830" w:type="dxa"/>
            <w:shd w:val="clear" w:color="auto" w:fill="FFF4E7"/>
            <w:tcMar>
              <w:top w:w="72" w:type="dxa"/>
              <w:left w:w="144" w:type="dxa"/>
              <w:bottom w:w="72" w:type="dxa"/>
              <w:right w:w="144" w:type="dxa"/>
            </w:tcMar>
            <w:hideMark/>
          </w:tcPr>
          <w:p w14:paraId="53AE022D"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Desarrollo Territorial, Urbano y Movilidad </w:t>
            </w:r>
          </w:p>
        </w:tc>
        <w:tc>
          <w:tcPr>
            <w:tcW w:w="1607" w:type="dxa"/>
            <w:shd w:val="clear" w:color="auto" w:fill="FFF4E7"/>
            <w:tcMar>
              <w:top w:w="72" w:type="dxa"/>
              <w:left w:w="144" w:type="dxa"/>
              <w:bottom w:w="72" w:type="dxa"/>
              <w:right w:w="144" w:type="dxa"/>
            </w:tcMar>
          </w:tcPr>
          <w:p w14:paraId="55965183" w14:textId="77777777" w:rsidR="003050D0" w:rsidRPr="001E7327" w:rsidRDefault="003050D0" w:rsidP="003050D0">
            <w:pPr>
              <w:spacing w:after="0" w:line="240" w:lineRule="auto"/>
              <w:rPr>
                <w:rFonts w:ascii="GalanoGrotesque-Medium" w:hAnsi="GalanoGrotesque-Medium" w:cs="Arial"/>
                <w:sz w:val="16"/>
                <w:szCs w:val="16"/>
                <w:lang w:eastAsia="es-MX"/>
              </w:rPr>
            </w:pPr>
          </w:p>
        </w:tc>
        <w:tc>
          <w:tcPr>
            <w:tcW w:w="2410" w:type="dxa"/>
            <w:shd w:val="clear" w:color="auto" w:fill="FFF4E7"/>
            <w:tcMar>
              <w:top w:w="72" w:type="dxa"/>
              <w:left w:w="144" w:type="dxa"/>
              <w:bottom w:w="72" w:type="dxa"/>
              <w:right w:w="144" w:type="dxa"/>
            </w:tcMar>
          </w:tcPr>
          <w:p w14:paraId="02C1EE47" w14:textId="77777777" w:rsidR="003050D0" w:rsidRPr="001E7327" w:rsidRDefault="003050D0" w:rsidP="003050D0">
            <w:pPr>
              <w:spacing w:after="0" w:line="240" w:lineRule="auto"/>
              <w:rPr>
                <w:rFonts w:ascii="GalanoGrotesque-Medium" w:hAnsi="GalanoGrotesque-Medium" w:cs="Arial"/>
                <w:sz w:val="16"/>
                <w:szCs w:val="16"/>
                <w:lang w:eastAsia="es-MX"/>
              </w:rPr>
            </w:pPr>
          </w:p>
        </w:tc>
        <w:tc>
          <w:tcPr>
            <w:tcW w:w="2485" w:type="dxa"/>
            <w:shd w:val="clear" w:color="auto" w:fill="FFF4E7"/>
            <w:tcMar>
              <w:top w:w="72" w:type="dxa"/>
              <w:left w:w="144" w:type="dxa"/>
              <w:bottom w:w="72" w:type="dxa"/>
              <w:right w:w="144" w:type="dxa"/>
            </w:tcMar>
          </w:tcPr>
          <w:p w14:paraId="64DECB8B" w14:textId="77777777" w:rsidR="003050D0" w:rsidRPr="001E7327" w:rsidRDefault="003050D0" w:rsidP="003050D0">
            <w:pPr>
              <w:spacing w:after="0" w:line="240" w:lineRule="auto"/>
              <w:rPr>
                <w:rFonts w:ascii="GalanoGrotesque-Medium" w:hAnsi="GalanoGrotesque-Medium" w:cs="Arial"/>
                <w:sz w:val="16"/>
                <w:szCs w:val="16"/>
                <w:lang w:eastAsia="es-MX"/>
              </w:rPr>
            </w:pPr>
          </w:p>
        </w:tc>
      </w:tr>
      <w:tr w:rsidR="003050D0" w:rsidRPr="001E7327" w14:paraId="113B3DB6" w14:textId="77777777" w:rsidTr="003050D0">
        <w:trPr>
          <w:trHeight w:val="325"/>
        </w:trPr>
        <w:tc>
          <w:tcPr>
            <w:tcW w:w="2830" w:type="dxa"/>
            <w:shd w:val="clear" w:color="auto" w:fill="FFE8CB"/>
            <w:tcMar>
              <w:top w:w="72" w:type="dxa"/>
              <w:left w:w="144" w:type="dxa"/>
              <w:bottom w:w="72" w:type="dxa"/>
              <w:right w:w="144" w:type="dxa"/>
            </w:tcMar>
            <w:hideMark/>
          </w:tcPr>
          <w:p w14:paraId="1D773C92" w14:textId="77777777" w:rsidR="003050D0" w:rsidRPr="001E7327" w:rsidRDefault="003050D0" w:rsidP="003050D0">
            <w:pPr>
              <w:spacing w:after="0" w:line="240" w:lineRule="auto"/>
              <w:rPr>
                <w:rFonts w:ascii="GalanoGrotesque-Medium" w:hAnsi="GalanoGrotesque-Medium" w:cs="Arial"/>
                <w:sz w:val="16"/>
                <w:szCs w:val="16"/>
                <w:lang w:eastAsia="es-MX"/>
              </w:rPr>
            </w:pPr>
            <w:r w:rsidRPr="001E7327">
              <w:rPr>
                <w:rFonts w:ascii="GalanoGrotesque-Medium" w:hAnsi="GalanoGrotesque-Medium" w:cs="Arial"/>
                <w:b/>
                <w:bCs/>
                <w:color w:val="000000"/>
                <w:kern w:val="24"/>
                <w:sz w:val="16"/>
                <w:szCs w:val="16"/>
                <w:lang w:eastAsia="es-MX"/>
              </w:rPr>
              <w:t xml:space="preserve">Seguridad Pública  y Procuración de Justicia </w:t>
            </w:r>
          </w:p>
        </w:tc>
        <w:tc>
          <w:tcPr>
            <w:tcW w:w="1607" w:type="dxa"/>
            <w:shd w:val="clear" w:color="auto" w:fill="FFE8CB"/>
            <w:tcMar>
              <w:top w:w="72" w:type="dxa"/>
              <w:left w:w="144" w:type="dxa"/>
              <w:bottom w:w="72" w:type="dxa"/>
              <w:right w:w="144" w:type="dxa"/>
            </w:tcMar>
            <w:hideMark/>
          </w:tcPr>
          <w:p w14:paraId="025B6996" w14:textId="77777777" w:rsidR="003050D0" w:rsidRPr="001E7327" w:rsidRDefault="003050D0" w:rsidP="003050D0">
            <w:pPr>
              <w:spacing w:after="0" w:line="240" w:lineRule="auto"/>
              <w:rPr>
                <w:rFonts w:ascii="GalanoGrotesque-Medium" w:hAnsi="GalanoGrotesque-Medium" w:cs="Arial"/>
                <w:sz w:val="16"/>
                <w:szCs w:val="16"/>
                <w:lang w:eastAsia="es-MX"/>
              </w:rPr>
            </w:pPr>
          </w:p>
        </w:tc>
        <w:tc>
          <w:tcPr>
            <w:tcW w:w="2410" w:type="dxa"/>
            <w:shd w:val="clear" w:color="auto" w:fill="FFE8CB"/>
            <w:tcMar>
              <w:top w:w="72" w:type="dxa"/>
              <w:left w:w="144" w:type="dxa"/>
              <w:bottom w:w="72" w:type="dxa"/>
              <w:right w:w="144" w:type="dxa"/>
            </w:tcMar>
            <w:hideMark/>
          </w:tcPr>
          <w:p w14:paraId="07EE49FB" w14:textId="77777777" w:rsidR="003050D0" w:rsidRPr="001E7327" w:rsidRDefault="003050D0" w:rsidP="003050D0">
            <w:pPr>
              <w:spacing w:after="0" w:line="240" w:lineRule="auto"/>
              <w:rPr>
                <w:rFonts w:ascii="GalanoGrotesque-Medium" w:hAnsi="GalanoGrotesque-Medium" w:cs="Arial"/>
                <w:sz w:val="16"/>
                <w:szCs w:val="16"/>
                <w:lang w:eastAsia="es-MX"/>
              </w:rPr>
            </w:pPr>
          </w:p>
        </w:tc>
        <w:tc>
          <w:tcPr>
            <w:tcW w:w="2485" w:type="dxa"/>
            <w:shd w:val="clear" w:color="auto" w:fill="FFE8CB"/>
            <w:tcMar>
              <w:top w:w="72" w:type="dxa"/>
              <w:left w:w="144" w:type="dxa"/>
              <w:bottom w:w="72" w:type="dxa"/>
              <w:right w:w="144" w:type="dxa"/>
            </w:tcMar>
            <w:hideMark/>
          </w:tcPr>
          <w:p w14:paraId="5B98D549" w14:textId="77777777" w:rsidR="003050D0" w:rsidRPr="001E7327" w:rsidRDefault="003050D0" w:rsidP="003050D0">
            <w:pPr>
              <w:spacing w:after="0" w:line="240" w:lineRule="auto"/>
              <w:rPr>
                <w:rFonts w:ascii="GalanoGrotesque-Medium" w:hAnsi="GalanoGrotesque-Medium" w:cs="Arial"/>
                <w:sz w:val="16"/>
                <w:szCs w:val="16"/>
                <w:lang w:eastAsia="es-MX"/>
              </w:rPr>
            </w:pPr>
          </w:p>
        </w:tc>
      </w:tr>
    </w:tbl>
    <w:p w14:paraId="08DB14BB" w14:textId="77777777" w:rsidR="003050D0" w:rsidRDefault="003050D0" w:rsidP="00DE0C10">
      <w:pPr>
        <w:spacing w:after="0" w:line="240" w:lineRule="auto"/>
        <w:jc w:val="center"/>
        <w:rPr>
          <w:rFonts w:ascii="GalanoGrotesque-Medium" w:eastAsia="Times New Roman" w:hAnsi="GalanoGrotesque-Medium" w:cs="Arial"/>
          <w:b/>
          <w:szCs w:val="24"/>
          <w:lang w:val="es-ES" w:eastAsia="es-ES"/>
        </w:rPr>
      </w:pPr>
    </w:p>
    <w:p w14:paraId="2FC90B51" w14:textId="2CE5D512" w:rsidR="00DE0C10" w:rsidRDefault="00DE0C10" w:rsidP="00DE0C10">
      <w:pPr>
        <w:spacing w:after="0" w:line="180" w:lineRule="exact"/>
        <w:ind w:left="567"/>
        <w:jc w:val="both"/>
        <w:rPr>
          <w:rFonts w:ascii="GalanoGrotesque-Regular" w:eastAsia="Times New Roman" w:hAnsi="GalanoGrotesque-Regular" w:cs="Arial"/>
          <w:sz w:val="16"/>
          <w:szCs w:val="20"/>
          <w:lang w:val="es-ES" w:eastAsia="es-ES"/>
        </w:rPr>
      </w:pPr>
      <w:r>
        <w:rPr>
          <w:rFonts w:ascii="GalanoGrotesque-Regular" w:eastAsia="Times New Roman" w:hAnsi="GalanoGrotesque-Regular" w:cs="Arial"/>
          <w:sz w:val="16"/>
          <w:szCs w:val="20"/>
          <w:lang w:val="es-ES" w:eastAsia="es-ES"/>
        </w:rPr>
        <w:t xml:space="preserve">       F</w:t>
      </w:r>
      <w:r w:rsidRPr="00475B98">
        <w:rPr>
          <w:rFonts w:ascii="GalanoGrotesque-Regular" w:eastAsia="Times New Roman" w:hAnsi="GalanoGrotesque-Regular" w:cs="Arial"/>
          <w:sz w:val="16"/>
          <w:szCs w:val="20"/>
          <w:lang w:val="es-ES" w:eastAsia="es-ES"/>
        </w:rPr>
        <w:t>uente: Elaboración propia, Coordinación General de Gabinete y Planeación del Gobierno de Michoacán.</w:t>
      </w:r>
    </w:p>
    <w:p w14:paraId="20CEB2A8" w14:textId="77777777" w:rsidR="00DE0C10" w:rsidRDefault="00DE0C10" w:rsidP="00DE0C10">
      <w:pPr>
        <w:spacing w:after="0" w:line="180" w:lineRule="exact"/>
        <w:ind w:left="567"/>
        <w:jc w:val="both"/>
        <w:rPr>
          <w:rFonts w:ascii="GalanoGrotesque-Regular" w:eastAsia="Times New Roman" w:hAnsi="GalanoGrotesque-Regular" w:cs="Arial"/>
          <w:sz w:val="16"/>
          <w:szCs w:val="20"/>
          <w:lang w:val="es-ES" w:eastAsia="es-ES"/>
        </w:rPr>
        <w:sectPr w:rsidR="00DE0C10" w:rsidSect="00DE0C10">
          <w:footnotePr>
            <w:numStart w:val="4"/>
          </w:footnotePr>
          <w:type w:val="continuous"/>
          <w:pgSz w:w="12240" w:h="15840" w:code="1"/>
          <w:pgMar w:top="1134" w:right="1418" w:bottom="1134" w:left="1418" w:header="567" w:footer="709" w:gutter="0"/>
          <w:cols w:space="567"/>
          <w:docGrid w:linePitch="360"/>
        </w:sectPr>
      </w:pPr>
    </w:p>
    <w:p w14:paraId="4EC3FE96" w14:textId="7F5FFF36" w:rsidR="00DE0C10" w:rsidRDefault="00DE0C10" w:rsidP="00DE0C10">
      <w:pPr>
        <w:spacing w:after="0" w:line="180" w:lineRule="exact"/>
        <w:ind w:left="567"/>
        <w:jc w:val="both"/>
        <w:rPr>
          <w:rFonts w:ascii="GalanoGrotesque-Regular" w:eastAsia="Times New Roman" w:hAnsi="GalanoGrotesque-Regular" w:cs="Arial"/>
          <w:sz w:val="16"/>
          <w:szCs w:val="20"/>
          <w:lang w:val="es-ES" w:eastAsia="es-ES"/>
        </w:rPr>
      </w:pPr>
    </w:p>
    <w:p w14:paraId="12F6DF1A" w14:textId="77777777" w:rsidR="00DE0C10" w:rsidRDefault="00DE0C10" w:rsidP="00DE0C10">
      <w:pPr>
        <w:rPr>
          <w:rFonts w:ascii="GalanoGrotesque-Medium" w:eastAsia="Times New Roman" w:hAnsi="GalanoGrotesque-Medium" w:cs="Arial"/>
          <w:b/>
          <w:sz w:val="24"/>
          <w:szCs w:val="24"/>
          <w:lang w:val="es-ES" w:eastAsia="es-ES"/>
        </w:rPr>
      </w:pPr>
    </w:p>
    <w:p w14:paraId="200C25A2" w14:textId="6B8268AD" w:rsidR="00475B98" w:rsidRDefault="00475B98" w:rsidP="00DE0C10">
      <w:pPr>
        <w:rPr>
          <w:rFonts w:ascii="GalanoGrotesque-Medium" w:eastAsia="Times New Roman" w:hAnsi="GalanoGrotesque-Medium" w:cs="Arial"/>
          <w:b/>
          <w:sz w:val="24"/>
          <w:szCs w:val="24"/>
          <w:lang w:val="es-ES" w:eastAsia="es-ES"/>
        </w:rPr>
        <w:sectPr w:rsidR="00475B98" w:rsidSect="006A5968">
          <w:footnotePr>
            <w:numStart w:val="4"/>
          </w:footnotePr>
          <w:type w:val="continuous"/>
          <w:pgSz w:w="12240" w:h="15840" w:code="1"/>
          <w:pgMar w:top="1134" w:right="1418" w:bottom="1134" w:left="1418" w:header="567" w:footer="709" w:gutter="0"/>
          <w:cols w:num="2" w:space="567"/>
          <w:docGrid w:linePitch="360"/>
        </w:sectPr>
      </w:pPr>
      <w:r>
        <w:rPr>
          <w:rFonts w:ascii="GalanoGrotesque-Medium" w:eastAsia="Times New Roman" w:hAnsi="GalanoGrotesque-Medium" w:cs="Arial"/>
          <w:b/>
          <w:sz w:val="24"/>
          <w:szCs w:val="24"/>
          <w:lang w:val="es-ES" w:eastAsia="es-ES"/>
        </w:rPr>
        <w:lastRenderedPageBreak/>
        <w:br w:type="page"/>
      </w:r>
    </w:p>
    <w:p w14:paraId="7345EBCC" w14:textId="77777777" w:rsidR="00475B98" w:rsidRDefault="00475B98" w:rsidP="00475B98">
      <w:pPr>
        <w:spacing w:after="240"/>
        <w:jc w:val="both"/>
        <w:rPr>
          <w:rFonts w:ascii="GalanoGrotesque-Regular" w:eastAsia="Times New Roman" w:hAnsi="GalanoGrotesque-Regular" w:cs="Arial"/>
          <w:sz w:val="20"/>
          <w:szCs w:val="20"/>
          <w:lang w:val="es-ES" w:eastAsia="es-ES"/>
        </w:rPr>
      </w:pPr>
    </w:p>
    <w:p w14:paraId="67DE9BBA" w14:textId="77777777" w:rsidR="00DE0C10" w:rsidRDefault="00DE0C10" w:rsidP="00475B98">
      <w:pPr>
        <w:spacing w:after="0" w:line="180" w:lineRule="exact"/>
        <w:ind w:left="567"/>
        <w:jc w:val="both"/>
        <w:rPr>
          <w:rFonts w:ascii="GalanoGrotesque-Regular" w:eastAsia="Times New Roman" w:hAnsi="GalanoGrotesque-Regular" w:cs="Arial"/>
          <w:sz w:val="16"/>
          <w:szCs w:val="20"/>
          <w:lang w:val="es-ES" w:eastAsia="es-ES"/>
        </w:rPr>
        <w:sectPr w:rsidR="00DE0C10" w:rsidSect="00475B98">
          <w:footnotePr>
            <w:numStart w:val="4"/>
          </w:footnotePr>
          <w:type w:val="continuous"/>
          <w:pgSz w:w="12240" w:h="15840" w:code="1"/>
          <w:pgMar w:top="1134" w:right="1418" w:bottom="1134" w:left="1418" w:header="567" w:footer="709" w:gutter="0"/>
          <w:cols w:space="567"/>
          <w:docGrid w:linePitch="360"/>
        </w:sectPr>
      </w:pPr>
    </w:p>
    <w:p w14:paraId="23598744" w14:textId="1464535C" w:rsidR="00475B98" w:rsidRDefault="00475B98" w:rsidP="00475B98">
      <w:pPr>
        <w:spacing w:after="0" w:line="180" w:lineRule="exact"/>
        <w:ind w:left="567"/>
        <w:jc w:val="both"/>
        <w:rPr>
          <w:rFonts w:ascii="GalanoGrotesque-Regular" w:eastAsia="Times New Roman" w:hAnsi="GalanoGrotesque-Regular" w:cs="Arial"/>
          <w:sz w:val="16"/>
          <w:szCs w:val="20"/>
          <w:lang w:val="es-ES" w:eastAsia="es-ES"/>
        </w:rPr>
      </w:pPr>
    </w:p>
    <w:p w14:paraId="3CA6F446" w14:textId="77777777" w:rsidR="00475B98" w:rsidRDefault="00475B98" w:rsidP="00475B98">
      <w:pPr>
        <w:spacing w:after="0" w:line="180" w:lineRule="exact"/>
        <w:ind w:left="567"/>
        <w:jc w:val="both"/>
        <w:rPr>
          <w:rFonts w:ascii="GalanoGrotesque-Regular" w:eastAsia="Times New Roman" w:hAnsi="GalanoGrotesque-Regular" w:cs="Arial"/>
          <w:sz w:val="16"/>
          <w:szCs w:val="20"/>
          <w:lang w:val="es-ES" w:eastAsia="es-ES"/>
        </w:rPr>
        <w:sectPr w:rsidR="00475B98" w:rsidSect="00DE0C10">
          <w:footnotePr>
            <w:numStart w:val="4"/>
          </w:footnotePr>
          <w:type w:val="continuous"/>
          <w:pgSz w:w="12240" w:h="15840" w:code="1"/>
          <w:pgMar w:top="1134" w:right="1418" w:bottom="1134" w:left="1418" w:header="567" w:footer="709" w:gutter="0"/>
          <w:cols w:space="567"/>
          <w:docGrid w:linePitch="360"/>
        </w:sectPr>
      </w:pPr>
    </w:p>
    <w:p w14:paraId="6BF60096" w14:textId="77777777" w:rsidR="00EF5C69" w:rsidRPr="00A00313" w:rsidRDefault="00EF5C69" w:rsidP="00EF5C69">
      <w:pPr>
        <w:spacing w:after="240"/>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lastRenderedPageBreak/>
        <w:t>Los programas sectoriales comprenden actividades gubernamentales que caen dentro de un área homogénea previamente definida a través de facultades y atribuciones que otorga la Ley de la Administración Pública Centralizada del Estado de Michoacán de Ocampo, en los que se prevé el establecimiento de metas sectoriales y la asignación correspondiente de recursos, estableciendo  el conjunto de acciones que se desarrollarán en un campo especifico del Estado. Constituyen el puente para el logro de los objetivos del PLADIEM con acciones y actividades de corto, mediano y largo plazo, de tipo económico, político, social, cultural, ambiental, de infraestructura y educativo, entre otros.</w:t>
      </w:r>
    </w:p>
    <w:p w14:paraId="09B74842" w14:textId="77777777" w:rsidR="003758E9" w:rsidRDefault="009F204D" w:rsidP="009F204D">
      <w:pPr>
        <w:spacing w:after="240"/>
        <w:jc w:val="both"/>
        <w:rPr>
          <w:rFonts w:ascii="MyriadPro-Regular" w:hAnsi="MyriadPro-Regular" w:cs="MyriadPro-Regular"/>
          <w:color w:val="414142"/>
          <w:sz w:val="20"/>
          <w:szCs w:val="20"/>
        </w:rPr>
      </w:pPr>
      <w:r w:rsidRPr="009F204D">
        <w:rPr>
          <w:rFonts w:ascii="MyriadPro-Regular" w:hAnsi="MyriadPro-Regular" w:cs="MyriadPro-Regular"/>
          <w:color w:val="414142"/>
          <w:sz w:val="20"/>
          <w:szCs w:val="20"/>
        </w:rPr>
        <w:t xml:space="preserve">Los objetivos del PLADIEM y su alineación para el trabajo de las dependencias y entidades del ejecutivo estatal se garantizan a través de los programas institucionales, instrumentos de planeación que desagregan y detallan los planteamientos del PLADIEM en el corto y mediano plazos. Los organismos públicos asumen la responsabilidad de su elaboración, determinan elementos estratégicos a partir del diagnóstico situacional y las características internas del organismo mediante la identificación y definición de las prioridades transversales. </w:t>
      </w:r>
    </w:p>
    <w:p w14:paraId="21EB3E78" w14:textId="575BB303" w:rsidR="003758E9" w:rsidRDefault="003758E9" w:rsidP="009F204D">
      <w:pPr>
        <w:spacing w:after="240"/>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Los programas de desarrollo regional, por otro lado, son la base para definir propuestas de inversión de obras o acciones a realizar con el acompañamiento del sector público, social, privado y académico, con la finalidad de impulsar el desarrollo de la región y promover la instrumentación de políticas sectoriales, institucionales y especiales con perspectiva regional.</w:t>
      </w:r>
    </w:p>
    <w:p w14:paraId="2DFAFEC3" w14:textId="77777777" w:rsidR="003758E9" w:rsidRDefault="003758E9" w:rsidP="003758E9">
      <w:pPr>
        <w:spacing w:after="240"/>
        <w:jc w:val="both"/>
        <w:rPr>
          <w:rFonts w:ascii="MyriadPro-Regular" w:hAnsi="MyriadPro-Regular" w:cs="MyriadPro-Regular"/>
          <w:color w:val="414142"/>
          <w:sz w:val="20"/>
          <w:szCs w:val="20"/>
        </w:rPr>
        <w:sectPr w:rsidR="003758E9" w:rsidSect="005A7D4D">
          <w:footnotePr>
            <w:numStart w:val="4"/>
          </w:footnotePr>
          <w:type w:val="continuous"/>
          <w:pgSz w:w="12240" w:h="15840" w:code="1"/>
          <w:pgMar w:top="1134" w:right="1418" w:bottom="1134" w:left="1418" w:header="567" w:footer="709" w:gutter="0"/>
          <w:cols w:num="2" w:space="567"/>
          <w:docGrid w:linePitch="360"/>
        </w:sectPr>
      </w:pPr>
      <w:r w:rsidRPr="00A00313">
        <w:rPr>
          <w:rFonts w:ascii="MyriadPro-Regular" w:hAnsi="MyriadPro-Regular" w:cs="MyriadPro-Regular"/>
          <w:color w:val="414142"/>
          <w:sz w:val="20"/>
          <w:szCs w:val="20"/>
        </w:rPr>
        <w:t xml:space="preserve">Los objetivos del PLADIEM determinan los proyectos a incluir en los programas especiales e institucionales a desarrollar. En ese mismo sentido, todos los proyectos de iniciativa de ley, reglamentos decretos, acuerdos y demás instrumentos de carácter jurídico-administrativo </w:t>
      </w:r>
      <w:r w:rsidRPr="00A00313">
        <w:rPr>
          <w:rFonts w:ascii="MyriadPro-Regular" w:hAnsi="MyriadPro-Regular" w:cs="MyriadPro-Regular"/>
          <w:color w:val="414142"/>
          <w:sz w:val="20"/>
          <w:szCs w:val="20"/>
        </w:rPr>
        <w:lastRenderedPageBreak/>
        <w:t>de la administración pública estatal deberán establecer sus vínculos con el PLADIEM.</w:t>
      </w:r>
    </w:p>
    <w:p w14:paraId="5651E637" w14:textId="5C15CE80" w:rsidR="009F204D" w:rsidRDefault="009F204D" w:rsidP="00A00313">
      <w:pPr>
        <w:spacing w:after="240"/>
        <w:jc w:val="both"/>
        <w:rPr>
          <w:rFonts w:ascii="MyriadPro-Regular" w:hAnsi="MyriadPro-Regular" w:cs="MyriadPro-Regular"/>
          <w:color w:val="414142"/>
          <w:sz w:val="20"/>
          <w:szCs w:val="20"/>
        </w:rPr>
      </w:pPr>
      <w:proofErr w:type="gramStart"/>
      <w:r w:rsidRPr="009F204D">
        <w:rPr>
          <w:rFonts w:ascii="MyriadPro-Regular" w:hAnsi="MyriadPro-Regular" w:cs="MyriadPro-Regular"/>
          <w:color w:val="414142"/>
          <w:sz w:val="20"/>
          <w:szCs w:val="20"/>
        </w:rPr>
        <w:lastRenderedPageBreak/>
        <w:t>organismo</w:t>
      </w:r>
      <w:proofErr w:type="gramEnd"/>
      <w:r w:rsidRPr="009F204D">
        <w:rPr>
          <w:rFonts w:ascii="MyriadPro-Regular" w:hAnsi="MyriadPro-Regular" w:cs="MyriadPro-Regular"/>
          <w:color w:val="414142"/>
          <w:sz w:val="20"/>
          <w:szCs w:val="20"/>
        </w:rPr>
        <w:t xml:space="preserve"> mediante la identificación y definición de las prioridades transversales.</w:t>
      </w:r>
    </w:p>
    <w:p w14:paraId="3C6418DF" w14:textId="77777777" w:rsidR="00DE0C10" w:rsidRDefault="00DE0C10" w:rsidP="009B176F">
      <w:pPr>
        <w:rPr>
          <w:rFonts w:ascii="GalanoGrotesque-Medium" w:eastAsia="Times New Roman" w:hAnsi="GalanoGrotesque-Medium" w:cs="Times New Roman"/>
          <w:b/>
          <w:sz w:val="24"/>
          <w:szCs w:val="24"/>
          <w:lang w:val="es-ES" w:eastAsia="es-ES"/>
        </w:rPr>
        <w:sectPr w:rsidR="00DE0C10" w:rsidSect="009B176F">
          <w:footnotePr>
            <w:numStart w:val="4"/>
          </w:footnotePr>
          <w:pgSz w:w="12240" w:h="15840"/>
          <w:pgMar w:top="1418" w:right="1134" w:bottom="1418" w:left="1134" w:header="709" w:footer="709" w:gutter="0"/>
          <w:cols w:space="567"/>
          <w:docGrid w:linePitch="360"/>
        </w:sectPr>
      </w:pPr>
    </w:p>
    <w:p w14:paraId="04415A20" w14:textId="7FA01C21" w:rsidR="009B176F" w:rsidRPr="009B176F" w:rsidRDefault="00082EBA" w:rsidP="009B176F">
      <w:pPr>
        <w:rPr>
          <w:rFonts w:ascii="GalanoGrotesque-Medium" w:eastAsia="Times New Roman" w:hAnsi="GalanoGrotesque-Medium" w:cs="Times New Roman"/>
          <w:b/>
          <w:sz w:val="24"/>
          <w:szCs w:val="24"/>
          <w:lang w:val="es-ES" w:eastAsia="es-ES"/>
        </w:rPr>
      </w:pPr>
      <w:r>
        <w:rPr>
          <w:noProof/>
        </w:rPr>
        <w:lastRenderedPageBreak/>
        <w:pict w14:anchorId="41C790B9">
          <v:shape id="_x0000_s1031" type="#_x0000_t75" style="position:absolute;margin-left:-56.6pt;margin-top:-87.6pt;width:611.4pt;height:791.2pt;z-index:251801088;mso-position-horizontal-relative:text;mso-position-vertical-relative:text">
            <v:imagedata r:id="rId28" o:title="Tema-1"/>
          </v:shape>
        </w:pict>
      </w:r>
    </w:p>
    <w:p w14:paraId="5A2B1E71" w14:textId="77777777" w:rsidR="009B176F" w:rsidRPr="009B176F" w:rsidRDefault="009B176F" w:rsidP="009B176F">
      <w:pPr>
        <w:spacing w:after="0"/>
        <w:jc w:val="right"/>
        <w:rPr>
          <w:rFonts w:ascii="GalanoGrotesque-Medium" w:eastAsia="Times New Roman" w:hAnsi="GalanoGrotesque-Medium" w:cs="Arial"/>
          <w:b/>
          <w:sz w:val="36"/>
          <w:szCs w:val="36"/>
          <w:lang w:val="es-ES" w:eastAsia="es-ES"/>
        </w:rPr>
      </w:pPr>
    </w:p>
    <w:p w14:paraId="433BC452" w14:textId="77777777" w:rsidR="009B176F" w:rsidRDefault="009B176F" w:rsidP="009B176F">
      <w:pPr>
        <w:tabs>
          <w:tab w:val="left" w:pos="3405"/>
        </w:tabs>
        <w:rPr>
          <w:rFonts w:ascii="GalanoGrotesque-Black" w:hAnsi="GalanoGrotesque-Black"/>
        </w:rPr>
        <w:sectPr w:rsidR="009B176F" w:rsidSect="00DE0C10">
          <w:footnotePr>
            <w:numStart w:val="4"/>
          </w:footnotePr>
          <w:type w:val="continuous"/>
          <w:pgSz w:w="12240" w:h="15840"/>
          <w:pgMar w:top="1418" w:right="1134" w:bottom="1418" w:left="1134" w:header="709" w:footer="709" w:gutter="0"/>
          <w:cols w:space="567"/>
          <w:docGrid w:linePitch="360"/>
        </w:sectPr>
      </w:pPr>
      <w:r>
        <w:rPr>
          <w:rFonts w:ascii="GalanoGrotesque-Black" w:hAnsi="GalanoGrotesque-Black"/>
        </w:rPr>
        <w:br w:type="page"/>
      </w:r>
    </w:p>
    <w:p w14:paraId="66E74D83" w14:textId="77777777" w:rsidR="009B176F" w:rsidRPr="00D753C9" w:rsidRDefault="00D753C9" w:rsidP="00293B5A">
      <w:pPr>
        <w:pStyle w:val="Ttulo1"/>
        <w:spacing w:before="0" w:after="160" w:line="280" w:lineRule="exact"/>
        <w:ind w:left="567"/>
        <w:rPr>
          <w:rFonts w:ascii="GalanoGrotesque-Medium" w:hAnsi="GalanoGrotesque-Medium"/>
          <w:b w:val="0"/>
          <w:sz w:val="28"/>
        </w:rPr>
      </w:pPr>
      <w:bookmarkStart w:id="9" w:name="_Toc455045711"/>
      <w:bookmarkStart w:id="10" w:name="_Toc458015636"/>
      <w:r>
        <w:rPr>
          <w:rFonts w:ascii="GalanoGrotesque-Medium" w:hAnsi="GalanoGrotesque-Medium"/>
          <w:b w:val="0"/>
          <w:noProof/>
          <w:sz w:val="28"/>
        </w:rPr>
        <w:lastRenderedPageBreak/>
        <w:drawing>
          <wp:anchor distT="0" distB="0" distL="114300" distR="114300" simplePos="0" relativeHeight="251802112" behindDoc="0" locked="0" layoutInCell="1" allowOverlap="1" wp14:anchorId="2007D749" wp14:editId="67DAC955">
            <wp:simplePos x="0" y="0"/>
            <wp:positionH relativeFrom="column">
              <wp:posOffset>-443230</wp:posOffset>
            </wp:positionH>
            <wp:positionV relativeFrom="paragraph">
              <wp:posOffset>3337</wp:posOffset>
            </wp:positionV>
            <wp:extent cx="769266" cy="520996"/>
            <wp:effectExtent l="0" t="0" r="0" b="0"/>
            <wp:wrapNone/>
            <wp:docPr id="43019" name="Imagen 4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9266" cy="520996"/>
                    </a:xfrm>
                    <a:prstGeom prst="rect">
                      <a:avLst/>
                    </a:prstGeom>
                    <a:noFill/>
                    <a:ln>
                      <a:noFill/>
                    </a:ln>
                  </pic:spPr>
                </pic:pic>
              </a:graphicData>
            </a:graphic>
            <wp14:sizeRelH relativeFrom="page">
              <wp14:pctWidth>0</wp14:pctWidth>
            </wp14:sizeRelH>
            <wp14:sizeRelV relativeFrom="page">
              <wp14:pctHeight>0</wp14:pctHeight>
            </wp14:sizeRelV>
          </wp:anchor>
        </w:drawing>
      </w:r>
      <w:r w:rsidR="009B176F" w:rsidRPr="00D753C9">
        <w:rPr>
          <w:rFonts w:ascii="GalanoGrotesque-Medium" w:hAnsi="GalanoGrotesque-Medium"/>
          <w:sz w:val="28"/>
        </w:rPr>
        <w:t>Desarrollo Humano; Educación con Calidad y Acceso a la Salud</w:t>
      </w:r>
      <w:bookmarkEnd w:id="9"/>
      <w:bookmarkEnd w:id="10"/>
    </w:p>
    <w:p w14:paraId="52957E9E" w14:textId="77777777" w:rsidR="009B176F" w:rsidRPr="00A00313" w:rsidRDefault="009B176F" w:rsidP="00D753C9">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El desarrollo del Estado depende primordialmente de que su población cuente con una educación con calidad, una salud que prolongue su esperanza de vida, así como de un ingreso que mejore sus condiciones de vida. </w:t>
      </w:r>
    </w:p>
    <w:p w14:paraId="4C27600B" w14:textId="77777777" w:rsidR="009B176F" w:rsidRPr="00A00313" w:rsidRDefault="009B176F" w:rsidP="00D753C9">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La educación proporciona a la sociedad habilidades y destrezas para lograr una mayor prosperidad; la salud de las personas prolonga su esperanza y calidad de vida y un mejor ingreso les permitirá acceder a los bienes necesarios para cubrir sus necesidades básicas y complementarias, lo que en conjunto propiciará mayor libertad para alcanzar la calidad de vida a que aspira la población.</w:t>
      </w:r>
    </w:p>
    <w:p w14:paraId="1D9C6E60" w14:textId="77777777" w:rsidR="009B176F" w:rsidRPr="00A00313" w:rsidRDefault="009B176F" w:rsidP="00D753C9">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De esta manera, la educación con calidad se visualiza como un Eje de Gobernanza del PLADIEM y es una condición indispensable para llevar a la población michoacana a un mayor bienestar y desarrollo humano. Asimismo, la educación debe responder a las necesidades de cada comunidad e impulsar una formación cultural funcional hacia la integración social y el respeto a los valores cívicos y las leyes que nos rigen.</w:t>
      </w:r>
    </w:p>
    <w:p w14:paraId="15430D54" w14:textId="77777777" w:rsidR="009B176F" w:rsidRPr="00A00313" w:rsidRDefault="009B176F" w:rsidP="00D753C9">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En un Estado como Michoacán, con flujos migratorios hacia los Estados Unidos muy importantes, el dominio del idioma inglés es fundamental incluso como factor de mantenimiento de la unidad en las familias y como herramienta para lograr mejores oportunidades.</w:t>
      </w:r>
    </w:p>
    <w:p w14:paraId="486308B0" w14:textId="77777777" w:rsidR="009B176F" w:rsidRPr="00A00313" w:rsidRDefault="009B176F" w:rsidP="00D753C9">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También es necesario fomentar</w:t>
      </w:r>
      <w:r w:rsidRPr="009B176F">
        <w:rPr>
          <w:rFonts w:ascii="GalanoGrotesque-Medium" w:eastAsia="Times New Roman" w:hAnsi="GalanoGrotesque-Medium" w:cs="Arial"/>
          <w:bCs/>
          <w:sz w:val="24"/>
          <w:szCs w:val="24"/>
          <w:lang w:val="es-ES" w:eastAsia="es-ES"/>
        </w:rPr>
        <w:t xml:space="preserve"> </w:t>
      </w:r>
      <w:r w:rsidRPr="00A00313">
        <w:rPr>
          <w:rFonts w:ascii="MyriadPro-Regular" w:hAnsi="MyriadPro-Regular" w:cs="MyriadPro-Regular"/>
          <w:color w:val="414142"/>
          <w:sz w:val="20"/>
          <w:szCs w:val="20"/>
        </w:rPr>
        <w:t xml:space="preserve">que la comunidad educativa tienda a la toma de conciencia de su realidad global, de las interrelaciones entre las personas y con la naturaleza, de tal manera que se creen valores y actitudes con un profundo interés por el medio ambiente y de sentido de responsabilidad para resolver los problemas ambientales. Es imperante que la educación fomente hábitos y costumbres en la población michoacana acordes con una apropiación cuidadosa de los recursos naturales.  </w:t>
      </w:r>
    </w:p>
    <w:p w14:paraId="1A51121E" w14:textId="77777777" w:rsidR="009B176F" w:rsidRPr="00A00313" w:rsidRDefault="009B176F" w:rsidP="00D753C9">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La salud es un bien social que se debe preservar a través de la prevención de enfermedades y promoción de una vida saludable. Para esta Administración es importante diseñar políticas públicas  para la adopción de buenos hábitos </w:t>
      </w:r>
      <w:r w:rsidRPr="00A00313">
        <w:rPr>
          <w:rFonts w:ascii="MyriadPro-Regular" w:hAnsi="MyriadPro-Regular" w:cs="MyriadPro-Regular"/>
          <w:color w:val="414142"/>
          <w:sz w:val="20"/>
          <w:szCs w:val="20"/>
        </w:rPr>
        <w:lastRenderedPageBreak/>
        <w:t xml:space="preserve">alimenticios y deportivos que protejan la salud de la población michoacana. </w:t>
      </w:r>
    </w:p>
    <w:p w14:paraId="3330DBFF" w14:textId="77777777" w:rsidR="009B176F" w:rsidRPr="00A00313" w:rsidRDefault="009B176F" w:rsidP="00D753C9">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El perfil de la salud de la población ha estado marcado por una transición poblacional y  epidemiológica, lo que ha provocado una creciente morbilidad y mortalidad derivada de enfermedades no transmisibles como son las crónico- degenerativas y el cáncer, así como las enfermedades trasmisibles, como la zoonosis</w:t>
      </w:r>
      <w:r w:rsidRPr="002143B6">
        <w:rPr>
          <w:rFonts w:ascii="MyriadPro-Regular" w:hAnsi="MyriadPro-Regular" w:cs="MyriadPro-Regular"/>
          <w:color w:val="414142"/>
          <w:sz w:val="20"/>
          <w:szCs w:val="20"/>
          <w:vertAlign w:val="superscript"/>
        </w:rPr>
        <w:footnoteReference w:id="2"/>
      </w:r>
      <w:r w:rsidRPr="00A00313">
        <w:rPr>
          <w:rFonts w:ascii="MyriadPro-Regular" w:hAnsi="MyriadPro-Regular" w:cs="MyriadPro-Regular"/>
          <w:color w:val="414142"/>
          <w:sz w:val="20"/>
          <w:szCs w:val="20"/>
        </w:rPr>
        <w:t>, que siguen estando presentes</w:t>
      </w:r>
      <w:r w:rsidRPr="009B176F">
        <w:rPr>
          <w:rFonts w:ascii="GalanoGrotesque-Medium" w:eastAsia="Times New Roman" w:hAnsi="GalanoGrotesque-Medium" w:cs="Arial"/>
          <w:sz w:val="24"/>
          <w:szCs w:val="24"/>
          <w:lang w:eastAsia="es-ES"/>
        </w:rPr>
        <w:t xml:space="preserve"> </w:t>
      </w:r>
      <w:r w:rsidRPr="00A00313">
        <w:rPr>
          <w:rFonts w:ascii="MyriadPro-Regular" w:hAnsi="MyriadPro-Regular" w:cs="MyriadPro-Regular"/>
          <w:color w:val="414142"/>
          <w:sz w:val="20"/>
          <w:szCs w:val="20"/>
        </w:rPr>
        <w:t xml:space="preserve">acentuando la inequidad social, ya que afectan en mayor medida a los más vulnerables.  </w:t>
      </w:r>
    </w:p>
    <w:p w14:paraId="747489F8" w14:textId="77777777" w:rsidR="009B176F" w:rsidRPr="00A00313" w:rsidRDefault="009B176F" w:rsidP="00D753C9">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Mejorar sustantivamente los servicios de salud y ampliar en forma efectiva su cobertura es indispensable para lograr un Michoacán justo y con la fuerza necesaria para retomar caminos de bienestar y progreso.</w:t>
      </w:r>
    </w:p>
    <w:p w14:paraId="35DDE21C" w14:textId="77777777" w:rsidR="009B176F" w:rsidRPr="00D753C9" w:rsidRDefault="009B176F" w:rsidP="00D753C9">
      <w:pPr>
        <w:pStyle w:val="Prrafodelista"/>
        <w:numPr>
          <w:ilvl w:val="0"/>
          <w:numId w:val="14"/>
        </w:numPr>
        <w:tabs>
          <w:tab w:val="clear" w:pos="720"/>
        </w:tabs>
        <w:spacing w:after="160"/>
        <w:ind w:left="284" w:hanging="284"/>
        <w:rPr>
          <w:rFonts w:ascii="MyriadPro-Regular" w:hAnsi="MyriadPro-Regular" w:cs="MyriadPro-Regular"/>
          <w:b/>
          <w:color w:val="414142"/>
          <w:szCs w:val="20"/>
        </w:rPr>
      </w:pPr>
      <w:r w:rsidRPr="00D753C9">
        <w:rPr>
          <w:rFonts w:ascii="MyriadPro-Regular" w:hAnsi="MyriadPro-Regular" w:cs="MyriadPro-Regular"/>
          <w:b/>
          <w:color w:val="414142"/>
          <w:szCs w:val="20"/>
        </w:rPr>
        <w:t>Cómo nos encontramos</w:t>
      </w:r>
    </w:p>
    <w:p w14:paraId="1C381F1F" w14:textId="77777777" w:rsidR="009B176F" w:rsidRPr="00A00313" w:rsidRDefault="009B176F" w:rsidP="00D753C9">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El Índice de Desarrollo Humano (IDH) evalúa los rubros de educación, salud e ingreso, dimensiones fundamentales</w:t>
      </w:r>
      <w:r w:rsidRPr="009B176F">
        <w:rPr>
          <w:rFonts w:ascii="GalanoGrotesque-Medium" w:eastAsia="Times New Roman" w:hAnsi="GalanoGrotesque-Medium" w:cs="Arial"/>
          <w:bCs/>
          <w:sz w:val="24"/>
          <w:szCs w:val="24"/>
          <w:lang w:val="es-ES" w:eastAsia="es-ES"/>
        </w:rPr>
        <w:t xml:space="preserve"> </w:t>
      </w:r>
      <w:r w:rsidRPr="00A00313">
        <w:rPr>
          <w:rFonts w:ascii="MyriadPro-Regular" w:hAnsi="MyriadPro-Regular" w:cs="MyriadPro-Regular"/>
          <w:color w:val="414142"/>
          <w:sz w:val="20"/>
          <w:szCs w:val="20"/>
        </w:rPr>
        <w:t>para que las personas puedan disfrutar de una vida plena.</w:t>
      </w:r>
    </w:p>
    <w:p w14:paraId="300E9EA9" w14:textId="77777777" w:rsidR="009B176F" w:rsidRPr="00A00313" w:rsidRDefault="009B176F" w:rsidP="00D753C9">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El Índice de Salud del IDH mide la esperanza de vida al nacer. En Michoacán, el 31.1% de la población no contaba con servicios de salud y seguridad social en 2012, cifra muy superior a la media nacional de 16.3%, a pesar de que la última Encuesta Nacional de Salud realizada en 2012 mostró que la cobertura del Seguro Popular ha crecido  anualmente a una tasa de 8%. Esta falta de acceso efectivo a los servicios de salud y seguridad social impacta negativamente en la esperanza de vida de la población del Estado.</w:t>
      </w:r>
    </w:p>
    <w:p w14:paraId="3BE98E4A" w14:textId="77777777" w:rsidR="009B176F" w:rsidRPr="00A00313" w:rsidRDefault="009B176F" w:rsidP="00D753C9">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El Índice de Educación del IDH se refiere a los años promedio de escolaridad para personas mayores de veinticinco años o más y los años esperados de escolaridad para personas entre seis y veinticuatro años. Las entidades con los menores logros en 2012 en esta dimensión son Chiapas (0.528), Oaxaca (0.539) y Michoacán (0.543). Este indicador presenta la mayor brecha entre las entidades, ya que el índice de educación mayor corresponde al de la Ciudad de México (0.483).</w:t>
      </w:r>
    </w:p>
    <w:p w14:paraId="0A047F02" w14:textId="77777777" w:rsidR="009B176F" w:rsidRPr="00A00313" w:rsidRDefault="009B176F" w:rsidP="00D753C9">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Michoacán se ubica dentro de los últimos lugares a nivel nacional en la dimensión de educación, especialmente en el índice de reprobación de los alumnos. La tasa de terminación y los índices de </w:t>
      </w:r>
      <w:r w:rsidRPr="00A00313">
        <w:rPr>
          <w:rFonts w:ascii="MyriadPro-Regular" w:hAnsi="MyriadPro-Regular" w:cs="MyriadPro-Regular"/>
          <w:color w:val="414142"/>
          <w:sz w:val="20"/>
          <w:szCs w:val="20"/>
        </w:rPr>
        <w:lastRenderedPageBreak/>
        <w:t>cobertura señalan oportunidades de mejora que deben ser atendidas rápidamente.</w:t>
      </w:r>
    </w:p>
    <w:p w14:paraId="69892632" w14:textId="77777777" w:rsidR="000B7E06" w:rsidRDefault="009B176F" w:rsidP="00D753C9">
      <w:pPr>
        <w:spacing w:after="160" w:line="240" w:lineRule="auto"/>
        <w:jc w:val="both"/>
        <w:rPr>
          <w:rFonts w:ascii="MyriadPro-Regular" w:hAnsi="MyriadPro-Regular" w:cs="MyriadPro-Regular"/>
          <w:color w:val="414142"/>
          <w:sz w:val="20"/>
          <w:szCs w:val="20"/>
        </w:rPr>
        <w:sectPr w:rsidR="000B7E06" w:rsidSect="000B7E06">
          <w:footnotePr>
            <w:numStart w:val="4"/>
          </w:footnotePr>
          <w:pgSz w:w="12240" w:h="15840"/>
          <w:pgMar w:top="1418" w:right="1134" w:bottom="1418" w:left="1134" w:header="709" w:footer="709" w:gutter="0"/>
          <w:cols w:num="2" w:space="567"/>
          <w:docGrid w:linePitch="360"/>
        </w:sectPr>
      </w:pPr>
      <w:r w:rsidRPr="00A00313">
        <w:rPr>
          <w:rFonts w:ascii="MyriadPro-Regular" w:hAnsi="MyriadPro-Regular" w:cs="MyriadPro-Regular"/>
          <w:color w:val="414142"/>
          <w:sz w:val="20"/>
          <w:szCs w:val="20"/>
        </w:rPr>
        <w:t xml:space="preserve">El grado promedio de escolaridad en Michoacán durante el ciclo escolar 2014-2015 fue de 7.7 años, en contraste con la media nacional de 8.9 años, lo que ubica a la entidad en la posición vigésima novena </w:t>
      </w:r>
      <w:r w:rsidRPr="00A00313">
        <w:rPr>
          <w:rFonts w:ascii="MyriadPro-Regular" w:hAnsi="MyriadPro-Regular" w:cs="MyriadPro-Regular"/>
          <w:color w:val="414142"/>
          <w:sz w:val="20"/>
          <w:szCs w:val="20"/>
        </w:rPr>
        <w:lastRenderedPageBreak/>
        <w:t>a nivel nacional desde 1993, con un incremento inercial de apenas una décima de punto por año (Tabla 1.1). Asimismo, según las estadísticas de la Secretaría de Educación Pública, el 8.8% de la población mayor a 15 años era analfabeta en 2014, por arriba de la media nacional del 5.9%.</w:t>
      </w:r>
    </w:p>
    <w:p w14:paraId="4D8B4E64" w14:textId="77777777" w:rsidR="009B176F" w:rsidRDefault="009B176F" w:rsidP="00D753C9">
      <w:pPr>
        <w:spacing w:after="160" w:line="240" w:lineRule="auto"/>
        <w:jc w:val="both"/>
        <w:rPr>
          <w:rFonts w:ascii="MyriadPro-Regular" w:hAnsi="MyriadPro-Regular" w:cs="MyriadPro-Regular"/>
          <w:color w:val="414142"/>
          <w:sz w:val="20"/>
          <w:szCs w:val="20"/>
        </w:rPr>
      </w:pPr>
    </w:p>
    <w:p w14:paraId="744B2053" w14:textId="77777777" w:rsidR="009B176F" w:rsidRPr="000B7E06" w:rsidRDefault="009B176F" w:rsidP="000B7E06">
      <w:pPr>
        <w:tabs>
          <w:tab w:val="num" w:pos="720"/>
        </w:tabs>
        <w:spacing w:after="0" w:line="180" w:lineRule="exact"/>
        <w:jc w:val="center"/>
        <w:rPr>
          <w:rFonts w:ascii="GalanoGrotesque-Medium" w:eastAsia="Times New Roman" w:hAnsi="GalanoGrotesque-Medium" w:cs="Arial"/>
          <w:b/>
          <w:bCs/>
          <w:color w:val="000000"/>
          <w:sz w:val="16"/>
          <w:szCs w:val="24"/>
          <w:lang w:val="es-ES" w:eastAsia="es-ES"/>
        </w:rPr>
      </w:pPr>
      <w:r w:rsidRPr="000B7E06">
        <w:rPr>
          <w:rFonts w:ascii="GalanoGrotesque-Medium" w:eastAsia="Times New Roman" w:hAnsi="GalanoGrotesque-Medium" w:cs="Arial"/>
          <w:b/>
          <w:bCs/>
          <w:color w:val="000000"/>
          <w:sz w:val="16"/>
          <w:szCs w:val="24"/>
          <w:lang w:val="es-ES" w:eastAsia="es-ES"/>
        </w:rPr>
        <w:t>Tabla 1.1</w:t>
      </w:r>
    </w:p>
    <w:p w14:paraId="012413BB" w14:textId="77777777" w:rsidR="009B176F" w:rsidRPr="000B7E06" w:rsidRDefault="009B176F" w:rsidP="000B7E06">
      <w:pPr>
        <w:tabs>
          <w:tab w:val="num" w:pos="720"/>
        </w:tabs>
        <w:spacing w:after="160" w:line="180" w:lineRule="exact"/>
        <w:jc w:val="center"/>
        <w:rPr>
          <w:rFonts w:ascii="GalanoGrotesque-Medium" w:eastAsia="Times New Roman" w:hAnsi="GalanoGrotesque-Medium" w:cs="Arial"/>
          <w:sz w:val="16"/>
          <w:szCs w:val="24"/>
          <w:lang w:val="es-ES" w:eastAsia="es-ES"/>
        </w:rPr>
      </w:pPr>
      <w:r w:rsidRPr="000B7E06">
        <w:rPr>
          <w:rFonts w:ascii="GalanoGrotesque-Medium" w:eastAsia="Times New Roman" w:hAnsi="GalanoGrotesque-Medium" w:cs="Arial"/>
          <w:b/>
          <w:bCs/>
          <w:color w:val="000000"/>
          <w:sz w:val="16"/>
          <w:szCs w:val="24"/>
          <w:lang w:val="es-ES" w:eastAsia="es-ES"/>
        </w:rPr>
        <w:t>Indicadores de desarrollo humano, educación y salud.</w:t>
      </w:r>
    </w:p>
    <w:tbl>
      <w:tblPr>
        <w:tblW w:w="9300" w:type="dxa"/>
        <w:jc w:val="center"/>
        <w:tblCellMar>
          <w:left w:w="70" w:type="dxa"/>
          <w:right w:w="70" w:type="dxa"/>
        </w:tblCellMar>
        <w:tblLook w:val="04A0" w:firstRow="1" w:lastRow="0" w:firstColumn="1" w:lastColumn="0" w:noHBand="0" w:noVBand="1"/>
      </w:tblPr>
      <w:tblGrid>
        <w:gridCol w:w="1987"/>
        <w:gridCol w:w="853"/>
        <w:gridCol w:w="403"/>
        <w:gridCol w:w="774"/>
        <w:gridCol w:w="1217"/>
        <w:gridCol w:w="647"/>
        <w:gridCol w:w="669"/>
        <w:gridCol w:w="687"/>
        <w:gridCol w:w="689"/>
        <w:gridCol w:w="687"/>
        <w:gridCol w:w="687"/>
      </w:tblGrid>
      <w:tr w:rsidR="009B176F" w:rsidRPr="000B7E06" w14:paraId="32D8681F" w14:textId="77777777" w:rsidTr="000B7E06">
        <w:trPr>
          <w:trHeight w:val="510"/>
          <w:jc w:val="center"/>
        </w:trPr>
        <w:tc>
          <w:tcPr>
            <w:tcW w:w="1987"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60159EE9" w14:textId="77777777" w:rsidR="009B176F" w:rsidRPr="000B7E06" w:rsidRDefault="009B176F" w:rsidP="000B7E06">
            <w:pPr>
              <w:spacing w:after="0" w:line="240" w:lineRule="auto"/>
              <w:jc w:val="center"/>
              <w:rPr>
                <w:rFonts w:ascii="Myriad Pro" w:eastAsia="Times New Roman" w:hAnsi="Myriad Pro" w:cs="Times New Roman"/>
                <w:b/>
                <w:bCs/>
                <w:color w:val="000000"/>
                <w:sz w:val="16"/>
                <w:szCs w:val="16"/>
                <w:lang w:val="es-ES" w:eastAsia="es-ES"/>
              </w:rPr>
            </w:pPr>
            <w:r w:rsidRPr="000B7E06">
              <w:rPr>
                <w:rFonts w:ascii="Myriad Pro" w:eastAsia="Times New Roman" w:hAnsi="Myriad Pro" w:cs="Times New Roman"/>
                <w:b/>
                <w:bCs/>
                <w:color w:val="000000"/>
                <w:sz w:val="16"/>
                <w:szCs w:val="16"/>
                <w:lang w:val="es-ES" w:eastAsia="es-ES"/>
              </w:rPr>
              <w:t>Indicador</w:t>
            </w:r>
          </w:p>
        </w:tc>
        <w:tc>
          <w:tcPr>
            <w:tcW w:w="853" w:type="dxa"/>
            <w:tcBorders>
              <w:top w:val="single" w:sz="4" w:space="0" w:color="auto"/>
              <w:left w:val="nil"/>
              <w:bottom w:val="single" w:sz="4" w:space="0" w:color="auto"/>
              <w:right w:val="single" w:sz="4" w:space="0" w:color="auto"/>
            </w:tcBorders>
            <w:shd w:val="clear" w:color="000000" w:fill="A6A6A6"/>
            <w:noWrap/>
            <w:vAlign w:val="center"/>
            <w:hideMark/>
          </w:tcPr>
          <w:p w14:paraId="387E3068" w14:textId="77777777" w:rsidR="009B176F" w:rsidRPr="000B7E06" w:rsidRDefault="009B176F" w:rsidP="000B7E06">
            <w:pPr>
              <w:spacing w:after="0" w:line="240" w:lineRule="auto"/>
              <w:jc w:val="center"/>
              <w:rPr>
                <w:rFonts w:ascii="Myriad Pro" w:eastAsia="Times New Roman" w:hAnsi="Myriad Pro" w:cs="Times New Roman"/>
                <w:b/>
                <w:bCs/>
                <w:color w:val="000000"/>
                <w:sz w:val="16"/>
                <w:szCs w:val="16"/>
                <w:lang w:val="es-ES" w:eastAsia="es-ES"/>
              </w:rPr>
            </w:pPr>
            <w:r w:rsidRPr="000B7E06">
              <w:rPr>
                <w:rFonts w:ascii="Myriad Pro" w:eastAsia="Times New Roman" w:hAnsi="Myriad Pro" w:cs="Times New Roman"/>
                <w:b/>
                <w:bCs/>
                <w:color w:val="000000"/>
                <w:sz w:val="16"/>
                <w:szCs w:val="16"/>
                <w:lang w:val="es-ES" w:eastAsia="es-ES"/>
              </w:rPr>
              <w:t>Fuente</w:t>
            </w:r>
          </w:p>
        </w:tc>
        <w:tc>
          <w:tcPr>
            <w:tcW w:w="403" w:type="dxa"/>
            <w:tcBorders>
              <w:top w:val="single" w:sz="4" w:space="0" w:color="auto"/>
              <w:left w:val="nil"/>
              <w:bottom w:val="single" w:sz="4" w:space="0" w:color="auto"/>
              <w:right w:val="single" w:sz="4" w:space="0" w:color="auto"/>
            </w:tcBorders>
            <w:shd w:val="clear" w:color="000000" w:fill="A6A6A6"/>
            <w:noWrap/>
            <w:vAlign w:val="center"/>
            <w:hideMark/>
          </w:tcPr>
          <w:p w14:paraId="5C13C9F7" w14:textId="77777777" w:rsidR="009B176F" w:rsidRPr="000B7E06" w:rsidRDefault="009B176F" w:rsidP="000B7E06">
            <w:pPr>
              <w:spacing w:after="0" w:line="240" w:lineRule="auto"/>
              <w:jc w:val="center"/>
              <w:rPr>
                <w:rFonts w:ascii="Myriad Pro" w:eastAsia="Times New Roman" w:hAnsi="Myriad Pro" w:cs="Times New Roman"/>
                <w:b/>
                <w:bCs/>
                <w:color w:val="000000"/>
                <w:sz w:val="16"/>
                <w:szCs w:val="16"/>
                <w:lang w:val="es-ES" w:eastAsia="es-ES"/>
              </w:rPr>
            </w:pPr>
            <w:proofErr w:type="spellStart"/>
            <w:r w:rsidRPr="000B7E06">
              <w:rPr>
                <w:rFonts w:ascii="Myriad Pro" w:eastAsia="Times New Roman" w:hAnsi="Myriad Pro" w:cs="Times New Roman"/>
                <w:b/>
                <w:bCs/>
                <w:color w:val="000000"/>
                <w:sz w:val="16"/>
                <w:szCs w:val="16"/>
                <w:lang w:val="es-ES" w:eastAsia="es-ES"/>
              </w:rPr>
              <w:t>Rk</w:t>
            </w:r>
            <w:proofErr w:type="spellEnd"/>
          </w:p>
        </w:tc>
        <w:tc>
          <w:tcPr>
            <w:tcW w:w="774" w:type="dxa"/>
            <w:tcBorders>
              <w:top w:val="single" w:sz="4" w:space="0" w:color="auto"/>
              <w:left w:val="nil"/>
              <w:bottom w:val="single" w:sz="4" w:space="0" w:color="auto"/>
              <w:right w:val="single" w:sz="4" w:space="0" w:color="auto"/>
            </w:tcBorders>
            <w:shd w:val="clear" w:color="000000" w:fill="A6A6A6"/>
            <w:vAlign w:val="center"/>
            <w:hideMark/>
          </w:tcPr>
          <w:p w14:paraId="7E37EDCE" w14:textId="77777777" w:rsidR="009B176F" w:rsidRPr="000B7E06" w:rsidRDefault="009B176F" w:rsidP="000B7E06">
            <w:pPr>
              <w:spacing w:after="0" w:line="240" w:lineRule="auto"/>
              <w:jc w:val="center"/>
              <w:rPr>
                <w:rFonts w:ascii="Myriad Pro" w:eastAsia="Times New Roman" w:hAnsi="Myriad Pro" w:cs="Times New Roman"/>
                <w:b/>
                <w:bCs/>
                <w:color w:val="000000"/>
                <w:sz w:val="16"/>
                <w:szCs w:val="16"/>
                <w:lang w:val="es-ES" w:eastAsia="es-ES"/>
              </w:rPr>
            </w:pPr>
            <w:r w:rsidRPr="000B7E06">
              <w:rPr>
                <w:rFonts w:ascii="Myriad Pro" w:eastAsia="Times New Roman" w:hAnsi="Myriad Pro" w:cs="Times New Roman"/>
                <w:b/>
                <w:bCs/>
                <w:color w:val="000000"/>
                <w:sz w:val="16"/>
                <w:szCs w:val="16"/>
                <w:lang w:val="es-ES" w:eastAsia="es-ES"/>
              </w:rPr>
              <w:t xml:space="preserve">Media </w:t>
            </w:r>
            <w:proofErr w:type="spellStart"/>
            <w:r w:rsidRPr="000B7E06">
              <w:rPr>
                <w:rFonts w:ascii="Myriad Pro" w:eastAsia="Times New Roman" w:hAnsi="Myriad Pro" w:cs="Times New Roman"/>
                <w:b/>
                <w:bCs/>
                <w:color w:val="000000"/>
                <w:sz w:val="16"/>
                <w:szCs w:val="16"/>
                <w:lang w:val="es-ES" w:eastAsia="es-ES"/>
              </w:rPr>
              <w:t>Nac</w:t>
            </w:r>
            <w:proofErr w:type="spellEnd"/>
            <w:r w:rsidRPr="000B7E06">
              <w:rPr>
                <w:rFonts w:ascii="Myriad Pro" w:eastAsia="Times New Roman" w:hAnsi="Myriad Pro" w:cs="Times New Roman"/>
                <w:b/>
                <w:bCs/>
                <w:color w:val="000000"/>
                <w:sz w:val="16"/>
                <w:szCs w:val="16"/>
                <w:lang w:val="es-ES" w:eastAsia="es-ES"/>
              </w:rPr>
              <w:t>.</w:t>
            </w:r>
          </w:p>
        </w:tc>
        <w:tc>
          <w:tcPr>
            <w:tcW w:w="1217" w:type="dxa"/>
            <w:tcBorders>
              <w:top w:val="single" w:sz="4" w:space="0" w:color="auto"/>
              <w:left w:val="nil"/>
              <w:bottom w:val="single" w:sz="4" w:space="0" w:color="auto"/>
              <w:right w:val="single" w:sz="4" w:space="0" w:color="auto"/>
            </w:tcBorders>
            <w:shd w:val="clear" w:color="000000" w:fill="A6A6A6"/>
            <w:vAlign w:val="center"/>
            <w:hideMark/>
          </w:tcPr>
          <w:p w14:paraId="42AAF950" w14:textId="77777777" w:rsidR="009B176F" w:rsidRPr="000B7E06" w:rsidRDefault="009B176F" w:rsidP="000B7E06">
            <w:pPr>
              <w:spacing w:after="0" w:line="240" w:lineRule="auto"/>
              <w:jc w:val="center"/>
              <w:rPr>
                <w:rFonts w:ascii="Myriad Pro" w:eastAsia="Times New Roman" w:hAnsi="Myriad Pro" w:cs="Times New Roman"/>
                <w:b/>
                <w:bCs/>
                <w:color w:val="000000"/>
                <w:sz w:val="16"/>
                <w:szCs w:val="16"/>
                <w:lang w:val="es-ES" w:eastAsia="es-ES"/>
              </w:rPr>
            </w:pPr>
            <w:r w:rsidRPr="000B7E06">
              <w:rPr>
                <w:rFonts w:ascii="Myriad Pro" w:eastAsia="Times New Roman" w:hAnsi="Myriad Pro" w:cs="Times New Roman"/>
                <w:b/>
                <w:bCs/>
                <w:color w:val="000000"/>
                <w:sz w:val="16"/>
                <w:szCs w:val="16"/>
                <w:lang w:val="es-ES" w:eastAsia="es-ES"/>
              </w:rPr>
              <w:t>Unidad</w:t>
            </w:r>
          </w:p>
        </w:tc>
        <w:tc>
          <w:tcPr>
            <w:tcW w:w="647" w:type="dxa"/>
            <w:tcBorders>
              <w:top w:val="single" w:sz="4" w:space="0" w:color="auto"/>
              <w:left w:val="nil"/>
              <w:bottom w:val="single" w:sz="4" w:space="0" w:color="auto"/>
              <w:right w:val="single" w:sz="4" w:space="0" w:color="auto"/>
            </w:tcBorders>
            <w:shd w:val="clear" w:color="000000" w:fill="A6A6A6"/>
            <w:noWrap/>
            <w:vAlign w:val="center"/>
            <w:hideMark/>
          </w:tcPr>
          <w:p w14:paraId="342B471B" w14:textId="77777777" w:rsidR="009B176F" w:rsidRPr="000B7E06" w:rsidRDefault="009B176F" w:rsidP="000B7E06">
            <w:pPr>
              <w:spacing w:after="0" w:line="240" w:lineRule="auto"/>
              <w:jc w:val="center"/>
              <w:rPr>
                <w:rFonts w:ascii="Myriad Pro" w:eastAsia="Times New Roman" w:hAnsi="Myriad Pro" w:cs="Times New Roman"/>
                <w:b/>
                <w:bCs/>
                <w:color w:val="000000"/>
                <w:sz w:val="16"/>
                <w:szCs w:val="16"/>
                <w:lang w:val="es-ES" w:eastAsia="es-ES"/>
              </w:rPr>
            </w:pPr>
            <w:r w:rsidRPr="000B7E06">
              <w:rPr>
                <w:rFonts w:ascii="Myriad Pro" w:eastAsia="Times New Roman" w:hAnsi="Myriad Pro" w:cs="Times New Roman"/>
                <w:b/>
                <w:bCs/>
                <w:color w:val="000000"/>
                <w:sz w:val="16"/>
                <w:szCs w:val="16"/>
                <w:lang w:val="es-ES" w:eastAsia="es-ES"/>
              </w:rPr>
              <w:t>2008</w:t>
            </w:r>
          </w:p>
        </w:tc>
        <w:tc>
          <w:tcPr>
            <w:tcW w:w="669" w:type="dxa"/>
            <w:tcBorders>
              <w:top w:val="single" w:sz="4" w:space="0" w:color="auto"/>
              <w:left w:val="nil"/>
              <w:bottom w:val="single" w:sz="4" w:space="0" w:color="auto"/>
              <w:right w:val="single" w:sz="4" w:space="0" w:color="auto"/>
            </w:tcBorders>
            <w:shd w:val="clear" w:color="000000" w:fill="A6A6A6"/>
            <w:noWrap/>
            <w:vAlign w:val="center"/>
            <w:hideMark/>
          </w:tcPr>
          <w:p w14:paraId="7B53B6DD" w14:textId="77777777" w:rsidR="009B176F" w:rsidRPr="000B7E06" w:rsidRDefault="009B176F" w:rsidP="000B7E06">
            <w:pPr>
              <w:spacing w:after="0" w:line="240" w:lineRule="auto"/>
              <w:jc w:val="center"/>
              <w:rPr>
                <w:rFonts w:ascii="Myriad Pro" w:eastAsia="Times New Roman" w:hAnsi="Myriad Pro" w:cs="Times New Roman"/>
                <w:b/>
                <w:bCs/>
                <w:color w:val="000000"/>
                <w:sz w:val="16"/>
                <w:szCs w:val="16"/>
                <w:lang w:val="es-ES" w:eastAsia="es-ES"/>
              </w:rPr>
            </w:pPr>
            <w:r w:rsidRPr="000B7E06">
              <w:rPr>
                <w:rFonts w:ascii="Myriad Pro" w:eastAsia="Times New Roman" w:hAnsi="Myriad Pro" w:cs="Times New Roman"/>
                <w:b/>
                <w:bCs/>
                <w:color w:val="000000"/>
                <w:sz w:val="16"/>
                <w:szCs w:val="16"/>
                <w:lang w:val="es-ES" w:eastAsia="es-ES"/>
              </w:rPr>
              <w:t>2010</w:t>
            </w:r>
          </w:p>
        </w:tc>
        <w:tc>
          <w:tcPr>
            <w:tcW w:w="687" w:type="dxa"/>
            <w:tcBorders>
              <w:top w:val="single" w:sz="4" w:space="0" w:color="auto"/>
              <w:left w:val="nil"/>
              <w:bottom w:val="single" w:sz="4" w:space="0" w:color="auto"/>
              <w:right w:val="single" w:sz="4" w:space="0" w:color="auto"/>
            </w:tcBorders>
            <w:shd w:val="clear" w:color="000000" w:fill="A6A6A6"/>
            <w:noWrap/>
            <w:vAlign w:val="center"/>
            <w:hideMark/>
          </w:tcPr>
          <w:p w14:paraId="559B373E" w14:textId="77777777" w:rsidR="009B176F" w:rsidRPr="000B7E06" w:rsidRDefault="009B176F" w:rsidP="000B7E06">
            <w:pPr>
              <w:spacing w:after="0" w:line="240" w:lineRule="auto"/>
              <w:jc w:val="center"/>
              <w:rPr>
                <w:rFonts w:ascii="Myriad Pro" w:eastAsia="Times New Roman" w:hAnsi="Myriad Pro" w:cs="Times New Roman"/>
                <w:b/>
                <w:bCs/>
                <w:color w:val="000000"/>
                <w:sz w:val="16"/>
                <w:szCs w:val="16"/>
                <w:lang w:val="es-ES" w:eastAsia="es-ES"/>
              </w:rPr>
            </w:pPr>
            <w:r w:rsidRPr="000B7E06">
              <w:rPr>
                <w:rFonts w:ascii="Myriad Pro" w:eastAsia="Times New Roman" w:hAnsi="Myriad Pro" w:cs="Times New Roman"/>
                <w:b/>
                <w:bCs/>
                <w:color w:val="000000"/>
                <w:sz w:val="16"/>
                <w:szCs w:val="16"/>
                <w:lang w:val="es-ES" w:eastAsia="es-ES"/>
              </w:rPr>
              <w:t>2011</w:t>
            </w:r>
          </w:p>
        </w:tc>
        <w:tc>
          <w:tcPr>
            <w:tcW w:w="689" w:type="dxa"/>
            <w:tcBorders>
              <w:top w:val="single" w:sz="4" w:space="0" w:color="auto"/>
              <w:left w:val="nil"/>
              <w:bottom w:val="single" w:sz="4" w:space="0" w:color="auto"/>
              <w:right w:val="single" w:sz="4" w:space="0" w:color="auto"/>
            </w:tcBorders>
            <w:shd w:val="clear" w:color="000000" w:fill="A6A6A6"/>
            <w:noWrap/>
            <w:vAlign w:val="center"/>
            <w:hideMark/>
          </w:tcPr>
          <w:p w14:paraId="3EA32236" w14:textId="77777777" w:rsidR="009B176F" w:rsidRPr="000B7E06" w:rsidRDefault="009B176F" w:rsidP="000B7E06">
            <w:pPr>
              <w:spacing w:after="0" w:line="240" w:lineRule="auto"/>
              <w:jc w:val="center"/>
              <w:rPr>
                <w:rFonts w:ascii="Myriad Pro" w:eastAsia="Times New Roman" w:hAnsi="Myriad Pro" w:cs="Times New Roman"/>
                <w:b/>
                <w:bCs/>
                <w:color w:val="000000"/>
                <w:sz w:val="16"/>
                <w:szCs w:val="16"/>
                <w:lang w:val="es-ES" w:eastAsia="es-ES"/>
              </w:rPr>
            </w:pPr>
            <w:r w:rsidRPr="000B7E06">
              <w:rPr>
                <w:rFonts w:ascii="Myriad Pro" w:eastAsia="Times New Roman" w:hAnsi="Myriad Pro" w:cs="Times New Roman"/>
                <w:b/>
                <w:bCs/>
                <w:color w:val="000000"/>
                <w:sz w:val="16"/>
                <w:szCs w:val="16"/>
                <w:lang w:val="es-ES" w:eastAsia="es-ES"/>
              </w:rPr>
              <w:t>2012</w:t>
            </w:r>
          </w:p>
        </w:tc>
        <w:tc>
          <w:tcPr>
            <w:tcW w:w="687" w:type="dxa"/>
            <w:tcBorders>
              <w:top w:val="single" w:sz="4" w:space="0" w:color="auto"/>
              <w:left w:val="nil"/>
              <w:bottom w:val="single" w:sz="4" w:space="0" w:color="auto"/>
              <w:right w:val="single" w:sz="4" w:space="0" w:color="auto"/>
            </w:tcBorders>
            <w:shd w:val="clear" w:color="000000" w:fill="A6A6A6"/>
            <w:noWrap/>
            <w:vAlign w:val="center"/>
            <w:hideMark/>
          </w:tcPr>
          <w:p w14:paraId="13643F8C" w14:textId="77777777" w:rsidR="009B176F" w:rsidRPr="000B7E06" w:rsidRDefault="009B176F" w:rsidP="000B7E06">
            <w:pPr>
              <w:spacing w:after="0" w:line="240" w:lineRule="auto"/>
              <w:jc w:val="center"/>
              <w:rPr>
                <w:rFonts w:ascii="Myriad Pro" w:eastAsia="Times New Roman" w:hAnsi="Myriad Pro" w:cs="Times New Roman"/>
                <w:b/>
                <w:bCs/>
                <w:color w:val="000000"/>
                <w:sz w:val="16"/>
                <w:szCs w:val="16"/>
                <w:lang w:val="es-ES" w:eastAsia="es-ES"/>
              </w:rPr>
            </w:pPr>
            <w:r w:rsidRPr="000B7E06">
              <w:rPr>
                <w:rFonts w:ascii="Myriad Pro" w:eastAsia="Times New Roman" w:hAnsi="Myriad Pro" w:cs="Times New Roman"/>
                <w:b/>
                <w:bCs/>
                <w:color w:val="000000"/>
                <w:sz w:val="16"/>
                <w:szCs w:val="16"/>
                <w:lang w:val="es-ES" w:eastAsia="es-ES"/>
              </w:rPr>
              <w:t>2013</w:t>
            </w:r>
          </w:p>
        </w:tc>
        <w:tc>
          <w:tcPr>
            <w:tcW w:w="687" w:type="dxa"/>
            <w:tcBorders>
              <w:top w:val="single" w:sz="4" w:space="0" w:color="auto"/>
              <w:left w:val="nil"/>
              <w:bottom w:val="single" w:sz="4" w:space="0" w:color="auto"/>
              <w:right w:val="single" w:sz="4" w:space="0" w:color="auto"/>
            </w:tcBorders>
            <w:shd w:val="clear" w:color="000000" w:fill="A6A6A6"/>
            <w:noWrap/>
            <w:vAlign w:val="center"/>
            <w:hideMark/>
          </w:tcPr>
          <w:p w14:paraId="07E68DBE" w14:textId="77777777" w:rsidR="009B176F" w:rsidRPr="000B7E06" w:rsidRDefault="009B176F" w:rsidP="000B7E06">
            <w:pPr>
              <w:spacing w:after="0" w:line="240" w:lineRule="auto"/>
              <w:jc w:val="center"/>
              <w:rPr>
                <w:rFonts w:ascii="Myriad Pro" w:eastAsia="Times New Roman" w:hAnsi="Myriad Pro" w:cs="Times New Roman"/>
                <w:b/>
                <w:bCs/>
                <w:color w:val="000000"/>
                <w:sz w:val="16"/>
                <w:szCs w:val="16"/>
                <w:lang w:val="es-ES" w:eastAsia="es-ES"/>
              </w:rPr>
            </w:pPr>
            <w:r w:rsidRPr="000B7E06">
              <w:rPr>
                <w:rFonts w:ascii="Myriad Pro" w:eastAsia="Times New Roman" w:hAnsi="Myriad Pro" w:cs="Times New Roman"/>
                <w:b/>
                <w:bCs/>
                <w:color w:val="000000"/>
                <w:sz w:val="16"/>
                <w:szCs w:val="16"/>
                <w:lang w:val="es-ES" w:eastAsia="es-ES"/>
              </w:rPr>
              <w:t>2014</w:t>
            </w:r>
          </w:p>
        </w:tc>
      </w:tr>
      <w:tr w:rsidR="009B176F" w:rsidRPr="000B7E06" w14:paraId="7B1A832C" w14:textId="77777777" w:rsidTr="000B7E06">
        <w:trPr>
          <w:trHeight w:val="255"/>
          <w:jc w:val="center"/>
        </w:trPr>
        <w:tc>
          <w:tcPr>
            <w:tcW w:w="1987" w:type="dxa"/>
            <w:tcBorders>
              <w:top w:val="nil"/>
              <w:left w:val="single" w:sz="4" w:space="0" w:color="auto"/>
              <w:bottom w:val="single" w:sz="4" w:space="0" w:color="auto"/>
              <w:right w:val="single" w:sz="4" w:space="0" w:color="auto"/>
            </w:tcBorders>
            <w:shd w:val="clear" w:color="000000" w:fill="BFBFBF"/>
            <w:vAlign w:val="bottom"/>
            <w:hideMark/>
          </w:tcPr>
          <w:p w14:paraId="331F4CA6"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IDH - Michoacán de Ocampo</w:t>
            </w:r>
          </w:p>
        </w:tc>
        <w:tc>
          <w:tcPr>
            <w:tcW w:w="853" w:type="dxa"/>
            <w:tcBorders>
              <w:top w:val="nil"/>
              <w:left w:val="nil"/>
              <w:bottom w:val="single" w:sz="4" w:space="0" w:color="auto"/>
              <w:right w:val="single" w:sz="4" w:space="0" w:color="auto"/>
            </w:tcBorders>
            <w:shd w:val="clear" w:color="000000" w:fill="BFBFBF"/>
            <w:noWrap/>
            <w:vAlign w:val="bottom"/>
            <w:hideMark/>
          </w:tcPr>
          <w:p w14:paraId="52CC388C"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PNUD</w:t>
            </w:r>
          </w:p>
        </w:tc>
        <w:tc>
          <w:tcPr>
            <w:tcW w:w="403" w:type="dxa"/>
            <w:tcBorders>
              <w:top w:val="nil"/>
              <w:left w:val="nil"/>
              <w:bottom w:val="single" w:sz="4" w:space="0" w:color="auto"/>
              <w:right w:val="single" w:sz="4" w:space="0" w:color="auto"/>
            </w:tcBorders>
            <w:shd w:val="clear" w:color="000000" w:fill="BFBFBF"/>
            <w:noWrap/>
            <w:vAlign w:val="bottom"/>
            <w:hideMark/>
          </w:tcPr>
          <w:p w14:paraId="7FA22E32"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29</w:t>
            </w:r>
          </w:p>
        </w:tc>
        <w:tc>
          <w:tcPr>
            <w:tcW w:w="774" w:type="dxa"/>
            <w:tcBorders>
              <w:top w:val="nil"/>
              <w:left w:val="nil"/>
              <w:bottom w:val="single" w:sz="4" w:space="0" w:color="auto"/>
              <w:right w:val="single" w:sz="4" w:space="0" w:color="auto"/>
            </w:tcBorders>
            <w:shd w:val="clear" w:color="000000" w:fill="BFBFBF"/>
            <w:noWrap/>
            <w:vAlign w:val="bottom"/>
            <w:hideMark/>
          </w:tcPr>
          <w:p w14:paraId="0BD31E1E"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0.746</w:t>
            </w:r>
          </w:p>
        </w:tc>
        <w:tc>
          <w:tcPr>
            <w:tcW w:w="1217" w:type="dxa"/>
            <w:tcBorders>
              <w:top w:val="nil"/>
              <w:left w:val="nil"/>
              <w:bottom w:val="single" w:sz="4" w:space="0" w:color="auto"/>
              <w:right w:val="single" w:sz="4" w:space="0" w:color="auto"/>
            </w:tcBorders>
            <w:shd w:val="clear" w:color="000000" w:fill="BFBFBF"/>
            <w:noWrap/>
            <w:vAlign w:val="bottom"/>
            <w:hideMark/>
          </w:tcPr>
          <w:p w14:paraId="3D371261"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Índice</w:t>
            </w:r>
          </w:p>
        </w:tc>
        <w:tc>
          <w:tcPr>
            <w:tcW w:w="647" w:type="dxa"/>
            <w:tcBorders>
              <w:top w:val="nil"/>
              <w:left w:val="nil"/>
              <w:bottom w:val="single" w:sz="4" w:space="0" w:color="auto"/>
              <w:right w:val="single" w:sz="4" w:space="0" w:color="auto"/>
            </w:tcBorders>
            <w:shd w:val="clear" w:color="000000" w:fill="BFBFBF"/>
            <w:noWrap/>
            <w:vAlign w:val="bottom"/>
            <w:hideMark/>
          </w:tcPr>
          <w:p w14:paraId="04C8F6E6"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.683</w:t>
            </w:r>
          </w:p>
        </w:tc>
        <w:tc>
          <w:tcPr>
            <w:tcW w:w="669" w:type="dxa"/>
            <w:tcBorders>
              <w:top w:val="nil"/>
              <w:left w:val="nil"/>
              <w:bottom w:val="single" w:sz="4" w:space="0" w:color="auto"/>
              <w:right w:val="single" w:sz="4" w:space="0" w:color="auto"/>
            </w:tcBorders>
            <w:shd w:val="clear" w:color="000000" w:fill="BFBFBF"/>
            <w:noWrap/>
            <w:vAlign w:val="bottom"/>
            <w:hideMark/>
          </w:tcPr>
          <w:p w14:paraId="2CB478FF"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.700</w:t>
            </w:r>
          </w:p>
        </w:tc>
        <w:tc>
          <w:tcPr>
            <w:tcW w:w="687" w:type="dxa"/>
            <w:tcBorders>
              <w:top w:val="nil"/>
              <w:left w:val="nil"/>
              <w:bottom w:val="single" w:sz="4" w:space="0" w:color="auto"/>
              <w:right w:val="single" w:sz="4" w:space="0" w:color="auto"/>
            </w:tcBorders>
            <w:shd w:val="clear" w:color="000000" w:fill="BFBFBF"/>
            <w:noWrap/>
            <w:vAlign w:val="bottom"/>
            <w:hideMark/>
          </w:tcPr>
          <w:p w14:paraId="2292A542"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9" w:type="dxa"/>
            <w:tcBorders>
              <w:top w:val="nil"/>
              <w:left w:val="nil"/>
              <w:bottom w:val="single" w:sz="4" w:space="0" w:color="auto"/>
              <w:right w:val="single" w:sz="4" w:space="0" w:color="auto"/>
            </w:tcBorders>
            <w:shd w:val="clear" w:color="000000" w:fill="BFBFBF"/>
            <w:noWrap/>
            <w:vAlign w:val="bottom"/>
            <w:hideMark/>
          </w:tcPr>
          <w:p w14:paraId="6EDA878D"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.700</w:t>
            </w:r>
          </w:p>
        </w:tc>
        <w:tc>
          <w:tcPr>
            <w:tcW w:w="687" w:type="dxa"/>
            <w:tcBorders>
              <w:top w:val="nil"/>
              <w:left w:val="nil"/>
              <w:bottom w:val="single" w:sz="4" w:space="0" w:color="auto"/>
              <w:right w:val="single" w:sz="4" w:space="0" w:color="auto"/>
            </w:tcBorders>
            <w:shd w:val="clear" w:color="000000" w:fill="BFBFBF"/>
            <w:noWrap/>
            <w:vAlign w:val="bottom"/>
            <w:hideMark/>
          </w:tcPr>
          <w:p w14:paraId="508F1D5D"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7" w:type="dxa"/>
            <w:tcBorders>
              <w:top w:val="nil"/>
              <w:left w:val="nil"/>
              <w:bottom w:val="single" w:sz="4" w:space="0" w:color="auto"/>
              <w:right w:val="single" w:sz="4" w:space="0" w:color="auto"/>
            </w:tcBorders>
            <w:shd w:val="clear" w:color="000000" w:fill="BFBFBF"/>
            <w:noWrap/>
            <w:vAlign w:val="bottom"/>
            <w:hideMark/>
          </w:tcPr>
          <w:p w14:paraId="1D665D6B"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r>
      <w:tr w:rsidR="009B176F" w:rsidRPr="000B7E06" w14:paraId="4E86F5FF" w14:textId="77777777" w:rsidTr="009B176F">
        <w:trPr>
          <w:trHeight w:val="255"/>
          <w:jc w:val="center"/>
        </w:trPr>
        <w:tc>
          <w:tcPr>
            <w:tcW w:w="9300" w:type="dxa"/>
            <w:gridSpan w:val="11"/>
            <w:tcBorders>
              <w:top w:val="single" w:sz="4" w:space="0" w:color="auto"/>
              <w:left w:val="single" w:sz="4" w:space="0" w:color="auto"/>
              <w:bottom w:val="single" w:sz="4" w:space="0" w:color="auto"/>
              <w:right w:val="single" w:sz="4" w:space="0" w:color="000000"/>
            </w:tcBorders>
            <w:shd w:val="clear" w:color="000000" w:fill="A6A6A6"/>
            <w:noWrap/>
            <w:vAlign w:val="bottom"/>
            <w:hideMark/>
          </w:tcPr>
          <w:p w14:paraId="43271CC1" w14:textId="77777777" w:rsidR="009B176F" w:rsidRPr="000B7E06" w:rsidRDefault="009B176F" w:rsidP="000B7E06">
            <w:pPr>
              <w:spacing w:after="0" w:line="240" w:lineRule="auto"/>
              <w:rPr>
                <w:rFonts w:ascii="Myriad Pro" w:eastAsia="Times New Roman" w:hAnsi="Myriad Pro" w:cs="Times New Roman"/>
                <w:b/>
                <w:bCs/>
                <w:color w:val="000000"/>
                <w:sz w:val="16"/>
                <w:szCs w:val="16"/>
                <w:lang w:val="es-ES" w:eastAsia="es-ES"/>
              </w:rPr>
            </w:pPr>
            <w:r w:rsidRPr="000B7E06">
              <w:rPr>
                <w:rFonts w:ascii="Myriad Pro" w:eastAsia="Times New Roman" w:hAnsi="Myriad Pro" w:cs="Times New Roman"/>
                <w:b/>
                <w:bCs/>
                <w:color w:val="000000"/>
                <w:sz w:val="16"/>
                <w:szCs w:val="16"/>
                <w:lang w:val="es-ES" w:eastAsia="es-ES"/>
              </w:rPr>
              <w:t>Sector: Educación</w:t>
            </w:r>
          </w:p>
        </w:tc>
      </w:tr>
      <w:tr w:rsidR="009B176F" w:rsidRPr="000B7E06" w14:paraId="5677E9C0" w14:textId="77777777" w:rsidTr="000B7E06">
        <w:trPr>
          <w:trHeight w:val="255"/>
          <w:jc w:val="center"/>
        </w:trPr>
        <w:tc>
          <w:tcPr>
            <w:tcW w:w="1987" w:type="dxa"/>
            <w:tcBorders>
              <w:top w:val="nil"/>
              <w:left w:val="single" w:sz="4" w:space="0" w:color="auto"/>
              <w:bottom w:val="single" w:sz="4" w:space="0" w:color="auto"/>
              <w:right w:val="single" w:sz="4" w:space="0" w:color="auto"/>
            </w:tcBorders>
            <w:shd w:val="clear" w:color="000000" w:fill="BFBFBF"/>
            <w:vAlign w:val="bottom"/>
            <w:hideMark/>
          </w:tcPr>
          <w:p w14:paraId="2A982855"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IDH - Índice de Educación</w:t>
            </w:r>
          </w:p>
        </w:tc>
        <w:tc>
          <w:tcPr>
            <w:tcW w:w="853" w:type="dxa"/>
            <w:tcBorders>
              <w:top w:val="nil"/>
              <w:left w:val="nil"/>
              <w:bottom w:val="single" w:sz="4" w:space="0" w:color="auto"/>
              <w:right w:val="single" w:sz="4" w:space="0" w:color="auto"/>
            </w:tcBorders>
            <w:shd w:val="clear" w:color="000000" w:fill="BFBFBF"/>
            <w:noWrap/>
            <w:vAlign w:val="bottom"/>
            <w:hideMark/>
          </w:tcPr>
          <w:p w14:paraId="2A4FFF8D"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PNUD</w:t>
            </w:r>
          </w:p>
        </w:tc>
        <w:tc>
          <w:tcPr>
            <w:tcW w:w="403" w:type="dxa"/>
            <w:tcBorders>
              <w:top w:val="nil"/>
              <w:left w:val="nil"/>
              <w:bottom w:val="single" w:sz="4" w:space="0" w:color="auto"/>
              <w:right w:val="single" w:sz="4" w:space="0" w:color="auto"/>
            </w:tcBorders>
            <w:shd w:val="clear" w:color="000000" w:fill="BFBFBF"/>
            <w:noWrap/>
            <w:vAlign w:val="bottom"/>
            <w:hideMark/>
          </w:tcPr>
          <w:p w14:paraId="5A0B805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30</w:t>
            </w:r>
          </w:p>
        </w:tc>
        <w:tc>
          <w:tcPr>
            <w:tcW w:w="774" w:type="dxa"/>
            <w:tcBorders>
              <w:top w:val="nil"/>
              <w:left w:val="nil"/>
              <w:bottom w:val="single" w:sz="4" w:space="0" w:color="auto"/>
              <w:right w:val="single" w:sz="4" w:space="0" w:color="auto"/>
            </w:tcBorders>
            <w:shd w:val="clear" w:color="000000" w:fill="BFBFBF"/>
            <w:noWrap/>
            <w:vAlign w:val="bottom"/>
            <w:hideMark/>
          </w:tcPr>
          <w:p w14:paraId="064670D5"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0.625</w:t>
            </w:r>
          </w:p>
        </w:tc>
        <w:tc>
          <w:tcPr>
            <w:tcW w:w="1217" w:type="dxa"/>
            <w:tcBorders>
              <w:top w:val="nil"/>
              <w:left w:val="nil"/>
              <w:bottom w:val="single" w:sz="4" w:space="0" w:color="auto"/>
              <w:right w:val="single" w:sz="4" w:space="0" w:color="auto"/>
            </w:tcBorders>
            <w:shd w:val="clear" w:color="000000" w:fill="BFBFBF"/>
            <w:noWrap/>
            <w:vAlign w:val="bottom"/>
            <w:hideMark/>
          </w:tcPr>
          <w:p w14:paraId="576340D8"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Índice</w:t>
            </w:r>
          </w:p>
        </w:tc>
        <w:tc>
          <w:tcPr>
            <w:tcW w:w="647" w:type="dxa"/>
            <w:tcBorders>
              <w:top w:val="nil"/>
              <w:left w:val="nil"/>
              <w:bottom w:val="single" w:sz="4" w:space="0" w:color="auto"/>
              <w:right w:val="single" w:sz="4" w:space="0" w:color="auto"/>
            </w:tcBorders>
            <w:shd w:val="clear" w:color="000000" w:fill="BFBFBF"/>
            <w:noWrap/>
            <w:vAlign w:val="bottom"/>
            <w:hideMark/>
          </w:tcPr>
          <w:p w14:paraId="15BB716B"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.534</w:t>
            </w:r>
          </w:p>
        </w:tc>
        <w:tc>
          <w:tcPr>
            <w:tcW w:w="669" w:type="dxa"/>
            <w:tcBorders>
              <w:top w:val="nil"/>
              <w:left w:val="nil"/>
              <w:bottom w:val="single" w:sz="4" w:space="0" w:color="auto"/>
              <w:right w:val="single" w:sz="4" w:space="0" w:color="auto"/>
            </w:tcBorders>
            <w:shd w:val="clear" w:color="000000" w:fill="BFBFBF"/>
            <w:noWrap/>
            <w:vAlign w:val="bottom"/>
            <w:hideMark/>
          </w:tcPr>
          <w:p w14:paraId="52FACC45"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.557</w:t>
            </w:r>
          </w:p>
        </w:tc>
        <w:tc>
          <w:tcPr>
            <w:tcW w:w="687" w:type="dxa"/>
            <w:tcBorders>
              <w:top w:val="nil"/>
              <w:left w:val="nil"/>
              <w:bottom w:val="single" w:sz="4" w:space="0" w:color="auto"/>
              <w:right w:val="single" w:sz="4" w:space="0" w:color="auto"/>
            </w:tcBorders>
            <w:shd w:val="clear" w:color="000000" w:fill="BFBFBF"/>
            <w:noWrap/>
            <w:vAlign w:val="bottom"/>
            <w:hideMark/>
          </w:tcPr>
          <w:p w14:paraId="7A7B47F5"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9" w:type="dxa"/>
            <w:tcBorders>
              <w:top w:val="nil"/>
              <w:left w:val="nil"/>
              <w:bottom w:val="single" w:sz="4" w:space="0" w:color="auto"/>
              <w:right w:val="single" w:sz="4" w:space="0" w:color="auto"/>
            </w:tcBorders>
            <w:shd w:val="clear" w:color="000000" w:fill="BFBFBF"/>
            <w:noWrap/>
            <w:vAlign w:val="bottom"/>
            <w:hideMark/>
          </w:tcPr>
          <w:p w14:paraId="66847A7D"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.543</w:t>
            </w:r>
          </w:p>
        </w:tc>
        <w:tc>
          <w:tcPr>
            <w:tcW w:w="687" w:type="dxa"/>
            <w:tcBorders>
              <w:top w:val="nil"/>
              <w:left w:val="nil"/>
              <w:bottom w:val="single" w:sz="4" w:space="0" w:color="auto"/>
              <w:right w:val="single" w:sz="4" w:space="0" w:color="auto"/>
            </w:tcBorders>
            <w:shd w:val="clear" w:color="000000" w:fill="BFBFBF"/>
            <w:noWrap/>
            <w:vAlign w:val="bottom"/>
            <w:hideMark/>
          </w:tcPr>
          <w:p w14:paraId="035BEA4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7" w:type="dxa"/>
            <w:tcBorders>
              <w:top w:val="nil"/>
              <w:left w:val="nil"/>
              <w:bottom w:val="single" w:sz="4" w:space="0" w:color="auto"/>
              <w:right w:val="single" w:sz="4" w:space="0" w:color="auto"/>
            </w:tcBorders>
            <w:shd w:val="clear" w:color="000000" w:fill="BFBFBF"/>
            <w:noWrap/>
            <w:vAlign w:val="bottom"/>
            <w:hideMark/>
          </w:tcPr>
          <w:p w14:paraId="78364EBF"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r>
      <w:tr w:rsidR="009B176F" w:rsidRPr="000B7E06" w14:paraId="26D4E888" w14:textId="77777777" w:rsidTr="000B7E06">
        <w:trPr>
          <w:trHeight w:val="255"/>
          <w:jc w:val="center"/>
        </w:trPr>
        <w:tc>
          <w:tcPr>
            <w:tcW w:w="1987" w:type="dxa"/>
            <w:tcBorders>
              <w:top w:val="nil"/>
              <w:left w:val="single" w:sz="4" w:space="0" w:color="auto"/>
              <w:bottom w:val="nil"/>
              <w:right w:val="single" w:sz="4" w:space="0" w:color="auto"/>
            </w:tcBorders>
            <w:shd w:val="clear" w:color="auto" w:fill="auto"/>
            <w:vAlign w:val="bottom"/>
            <w:hideMark/>
          </w:tcPr>
          <w:p w14:paraId="514F4809"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Eficiencia Terminal Primaria</w:t>
            </w:r>
          </w:p>
        </w:tc>
        <w:tc>
          <w:tcPr>
            <w:tcW w:w="853" w:type="dxa"/>
            <w:tcBorders>
              <w:top w:val="nil"/>
              <w:left w:val="nil"/>
              <w:bottom w:val="nil"/>
              <w:right w:val="single" w:sz="4" w:space="0" w:color="auto"/>
            </w:tcBorders>
            <w:shd w:val="clear" w:color="auto" w:fill="auto"/>
            <w:noWrap/>
            <w:vAlign w:val="bottom"/>
            <w:hideMark/>
          </w:tcPr>
          <w:p w14:paraId="698B6093"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SEP</w:t>
            </w:r>
          </w:p>
        </w:tc>
        <w:tc>
          <w:tcPr>
            <w:tcW w:w="403" w:type="dxa"/>
            <w:tcBorders>
              <w:top w:val="nil"/>
              <w:left w:val="nil"/>
              <w:bottom w:val="nil"/>
              <w:right w:val="single" w:sz="4" w:space="0" w:color="auto"/>
            </w:tcBorders>
            <w:shd w:val="clear" w:color="auto" w:fill="auto"/>
            <w:noWrap/>
            <w:vAlign w:val="bottom"/>
            <w:hideMark/>
          </w:tcPr>
          <w:p w14:paraId="2304E968"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16</w:t>
            </w:r>
          </w:p>
        </w:tc>
        <w:tc>
          <w:tcPr>
            <w:tcW w:w="774" w:type="dxa"/>
            <w:tcBorders>
              <w:top w:val="nil"/>
              <w:left w:val="nil"/>
              <w:bottom w:val="nil"/>
              <w:right w:val="single" w:sz="4" w:space="0" w:color="auto"/>
            </w:tcBorders>
            <w:shd w:val="clear" w:color="auto" w:fill="auto"/>
            <w:noWrap/>
            <w:vAlign w:val="bottom"/>
            <w:hideMark/>
          </w:tcPr>
          <w:p w14:paraId="0E7AF3E1"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98.20</w:t>
            </w:r>
          </w:p>
        </w:tc>
        <w:tc>
          <w:tcPr>
            <w:tcW w:w="1217" w:type="dxa"/>
            <w:tcBorders>
              <w:top w:val="nil"/>
              <w:left w:val="nil"/>
              <w:bottom w:val="nil"/>
              <w:right w:val="single" w:sz="4" w:space="0" w:color="auto"/>
            </w:tcBorders>
            <w:shd w:val="clear" w:color="auto" w:fill="auto"/>
            <w:noWrap/>
            <w:vAlign w:val="bottom"/>
            <w:hideMark/>
          </w:tcPr>
          <w:p w14:paraId="1DEAC1F4"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Porcentaje</w:t>
            </w:r>
          </w:p>
        </w:tc>
        <w:tc>
          <w:tcPr>
            <w:tcW w:w="647" w:type="dxa"/>
            <w:tcBorders>
              <w:top w:val="nil"/>
              <w:left w:val="nil"/>
              <w:bottom w:val="nil"/>
              <w:right w:val="single" w:sz="4" w:space="0" w:color="auto"/>
            </w:tcBorders>
            <w:shd w:val="clear" w:color="auto" w:fill="auto"/>
            <w:noWrap/>
            <w:vAlign w:val="bottom"/>
            <w:hideMark/>
          </w:tcPr>
          <w:p w14:paraId="521F5E7E"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69" w:type="dxa"/>
            <w:tcBorders>
              <w:top w:val="nil"/>
              <w:left w:val="nil"/>
              <w:bottom w:val="nil"/>
              <w:right w:val="single" w:sz="4" w:space="0" w:color="auto"/>
            </w:tcBorders>
            <w:shd w:val="clear" w:color="auto" w:fill="auto"/>
            <w:noWrap/>
            <w:vAlign w:val="bottom"/>
            <w:hideMark/>
          </w:tcPr>
          <w:p w14:paraId="1878F219"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92.60</w:t>
            </w:r>
          </w:p>
        </w:tc>
        <w:tc>
          <w:tcPr>
            <w:tcW w:w="687" w:type="dxa"/>
            <w:tcBorders>
              <w:top w:val="nil"/>
              <w:left w:val="nil"/>
              <w:bottom w:val="nil"/>
              <w:right w:val="single" w:sz="4" w:space="0" w:color="auto"/>
            </w:tcBorders>
            <w:shd w:val="clear" w:color="auto" w:fill="auto"/>
            <w:noWrap/>
            <w:vAlign w:val="bottom"/>
            <w:hideMark/>
          </w:tcPr>
          <w:p w14:paraId="72EC7941"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92.20</w:t>
            </w:r>
          </w:p>
        </w:tc>
        <w:tc>
          <w:tcPr>
            <w:tcW w:w="689" w:type="dxa"/>
            <w:tcBorders>
              <w:top w:val="nil"/>
              <w:left w:val="nil"/>
              <w:bottom w:val="nil"/>
              <w:right w:val="single" w:sz="4" w:space="0" w:color="auto"/>
            </w:tcBorders>
            <w:shd w:val="clear" w:color="auto" w:fill="auto"/>
            <w:noWrap/>
            <w:vAlign w:val="bottom"/>
            <w:hideMark/>
          </w:tcPr>
          <w:p w14:paraId="74F49A16"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91.60</w:t>
            </w:r>
          </w:p>
        </w:tc>
        <w:tc>
          <w:tcPr>
            <w:tcW w:w="687" w:type="dxa"/>
            <w:tcBorders>
              <w:top w:val="nil"/>
              <w:left w:val="nil"/>
              <w:bottom w:val="nil"/>
              <w:right w:val="single" w:sz="4" w:space="0" w:color="auto"/>
            </w:tcBorders>
            <w:shd w:val="clear" w:color="auto" w:fill="auto"/>
            <w:noWrap/>
            <w:vAlign w:val="bottom"/>
            <w:hideMark/>
          </w:tcPr>
          <w:p w14:paraId="66C83859"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96.40</w:t>
            </w:r>
          </w:p>
        </w:tc>
        <w:tc>
          <w:tcPr>
            <w:tcW w:w="687" w:type="dxa"/>
            <w:tcBorders>
              <w:top w:val="nil"/>
              <w:left w:val="nil"/>
              <w:bottom w:val="nil"/>
              <w:right w:val="single" w:sz="4" w:space="0" w:color="auto"/>
            </w:tcBorders>
            <w:shd w:val="clear" w:color="auto" w:fill="auto"/>
            <w:noWrap/>
            <w:vAlign w:val="bottom"/>
            <w:hideMark/>
          </w:tcPr>
          <w:p w14:paraId="2A26A00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96.20</w:t>
            </w:r>
          </w:p>
        </w:tc>
      </w:tr>
      <w:tr w:rsidR="009B176F" w:rsidRPr="000B7E06" w14:paraId="774B03F4" w14:textId="77777777" w:rsidTr="000B7E06">
        <w:trPr>
          <w:trHeight w:val="255"/>
          <w:jc w:val="center"/>
        </w:trPr>
        <w:tc>
          <w:tcPr>
            <w:tcW w:w="1987" w:type="dxa"/>
            <w:tcBorders>
              <w:top w:val="nil"/>
              <w:left w:val="single" w:sz="4" w:space="0" w:color="auto"/>
              <w:bottom w:val="nil"/>
              <w:right w:val="single" w:sz="4" w:space="0" w:color="auto"/>
            </w:tcBorders>
            <w:shd w:val="clear" w:color="auto" w:fill="auto"/>
            <w:vAlign w:val="bottom"/>
            <w:hideMark/>
          </w:tcPr>
          <w:p w14:paraId="50E97CA7"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Eficiencia Terminal Secundaria</w:t>
            </w:r>
          </w:p>
        </w:tc>
        <w:tc>
          <w:tcPr>
            <w:tcW w:w="853" w:type="dxa"/>
            <w:tcBorders>
              <w:top w:val="nil"/>
              <w:left w:val="nil"/>
              <w:bottom w:val="nil"/>
              <w:right w:val="single" w:sz="4" w:space="0" w:color="auto"/>
            </w:tcBorders>
            <w:shd w:val="clear" w:color="auto" w:fill="auto"/>
            <w:noWrap/>
            <w:vAlign w:val="bottom"/>
            <w:hideMark/>
          </w:tcPr>
          <w:p w14:paraId="285FE4F1"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SEP</w:t>
            </w:r>
          </w:p>
        </w:tc>
        <w:tc>
          <w:tcPr>
            <w:tcW w:w="403" w:type="dxa"/>
            <w:tcBorders>
              <w:top w:val="nil"/>
              <w:left w:val="nil"/>
              <w:bottom w:val="nil"/>
              <w:right w:val="single" w:sz="4" w:space="0" w:color="auto"/>
            </w:tcBorders>
            <w:shd w:val="clear" w:color="auto" w:fill="auto"/>
            <w:noWrap/>
            <w:vAlign w:val="bottom"/>
            <w:hideMark/>
          </w:tcPr>
          <w:p w14:paraId="01DEB5F7"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29</w:t>
            </w:r>
          </w:p>
        </w:tc>
        <w:tc>
          <w:tcPr>
            <w:tcW w:w="774" w:type="dxa"/>
            <w:tcBorders>
              <w:top w:val="nil"/>
              <w:left w:val="nil"/>
              <w:bottom w:val="nil"/>
              <w:right w:val="single" w:sz="4" w:space="0" w:color="auto"/>
            </w:tcBorders>
            <w:shd w:val="clear" w:color="auto" w:fill="auto"/>
            <w:noWrap/>
            <w:vAlign w:val="bottom"/>
            <w:hideMark/>
          </w:tcPr>
          <w:p w14:paraId="57F771FC"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88.30</w:t>
            </w:r>
          </w:p>
        </w:tc>
        <w:tc>
          <w:tcPr>
            <w:tcW w:w="1217" w:type="dxa"/>
            <w:tcBorders>
              <w:top w:val="nil"/>
              <w:left w:val="nil"/>
              <w:bottom w:val="nil"/>
              <w:right w:val="single" w:sz="4" w:space="0" w:color="auto"/>
            </w:tcBorders>
            <w:shd w:val="clear" w:color="auto" w:fill="auto"/>
            <w:noWrap/>
            <w:vAlign w:val="bottom"/>
            <w:hideMark/>
          </w:tcPr>
          <w:p w14:paraId="4ADCC5A9"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Porcentaje</w:t>
            </w:r>
          </w:p>
        </w:tc>
        <w:tc>
          <w:tcPr>
            <w:tcW w:w="647" w:type="dxa"/>
            <w:tcBorders>
              <w:top w:val="nil"/>
              <w:left w:val="nil"/>
              <w:bottom w:val="nil"/>
              <w:right w:val="single" w:sz="4" w:space="0" w:color="auto"/>
            </w:tcBorders>
            <w:shd w:val="clear" w:color="auto" w:fill="auto"/>
            <w:noWrap/>
            <w:vAlign w:val="bottom"/>
            <w:hideMark/>
          </w:tcPr>
          <w:p w14:paraId="1297D191"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69" w:type="dxa"/>
            <w:tcBorders>
              <w:top w:val="nil"/>
              <w:left w:val="nil"/>
              <w:bottom w:val="nil"/>
              <w:right w:val="single" w:sz="4" w:space="0" w:color="auto"/>
            </w:tcBorders>
            <w:shd w:val="clear" w:color="auto" w:fill="auto"/>
            <w:noWrap/>
            <w:vAlign w:val="bottom"/>
            <w:hideMark/>
          </w:tcPr>
          <w:p w14:paraId="654F741A"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72.0</w:t>
            </w:r>
          </w:p>
        </w:tc>
        <w:tc>
          <w:tcPr>
            <w:tcW w:w="687" w:type="dxa"/>
            <w:tcBorders>
              <w:top w:val="nil"/>
              <w:left w:val="nil"/>
              <w:bottom w:val="nil"/>
              <w:right w:val="single" w:sz="4" w:space="0" w:color="auto"/>
            </w:tcBorders>
            <w:shd w:val="clear" w:color="auto" w:fill="auto"/>
            <w:noWrap/>
            <w:vAlign w:val="bottom"/>
            <w:hideMark/>
          </w:tcPr>
          <w:p w14:paraId="3425EDC6"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73.60</w:t>
            </w:r>
          </w:p>
        </w:tc>
        <w:tc>
          <w:tcPr>
            <w:tcW w:w="689" w:type="dxa"/>
            <w:tcBorders>
              <w:top w:val="nil"/>
              <w:left w:val="nil"/>
              <w:bottom w:val="nil"/>
              <w:right w:val="single" w:sz="4" w:space="0" w:color="auto"/>
            </w:tcBorders>
            <w:shd w:val="clear" w:color="auto" w:fill="auto"/>
            <w:noWrap/>
            <w:vAlign w:val="bottom"/>
            <w:hideMark/>
          </w:tcPr>
          <w:p w14:paraId="2E1FA716"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74.90</w:t>
            </w:r>
          </w:p>
        </w:tc>
        <w:tc>
          <w:tcPr>
            <w:tcW w:w="687" w:type="dxa"/>
            <w:tcBorders>
              <w:top w:val="nil"/>
              <w:left w:val="nil"/>
              <w:bottom w:val="nil"/>
              <w:right w:val="single" w:sz="4" w:space="0" w:color="auto"/>
            </w:tcBorders>
            <w:shd w:val="clear" w:color="auto" w:fill="auto"/>
            <w:noWrap/>
            <w:vAlign w:val="bottom"/>
            <w:hideMark/>
          </w:tcPr>
          <w:p w14:paraId="0F59CEE3"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74.40</w:t>
            </w:r>
          </w:p>
        </w:tc>
        <w:tc>
          <w:tcPr>
            <w:tcW w:w="687" w:type="dxa"/>
            <w:tcBorders>
              <w:top w:val="nil"/>
              <w:left w:val="nil"/>
              <w:bottom w:val="nil"/>
              <w:right w:val="single" w:sz="4" w:space="0" w:color="auto"/>
            </w:tcBorders>
            <w:shd w:val="clear" w:color="auto" w:fill="auto"/>
            <w:noWrap/>
            <w:vAlign w:val="bottom"/>
            <w:hideMark/>
          </w:tcPr>
          <w:p w14:paraId="0362906B"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78.80</w:t>
            </w:r>
          </w:p>
        </w:tc>
      </w:tr>
      <w:tr w:rsidR="009B176F" w:rsidRPr="000B7E06" w14:paraId="3D91D85D" w14:textId="77777777" w:rsidTr="000B7E06">
        <w:trPr>
          <w:trHeight w:val="255"/>
          <w:jc w:val="center"/>
        </w:trPr>
        <w:tc>
          <w:tcPr>
            <w:tcW w:w="1987" w:type="dxa"/>
            <w:tcBorders>
              <w:top w:val="nil"/>
              <w:left w:val="single" w:sz="4" w:space="0" w:color="auto"/>
              <w:bottom w:val="nil"/>
              <w:right w:val="single" w:sz="4" w:space="0" w:color="auto"/>
            </w:tcBorders>
            <w:shd w:val="clear" w:color="auto" w:fill="auto"/>
            <w:vAlign w:val="bottom"/>
            <w:hideMark/>
          </w:tcPr>
          <w:p w14:paraId="13E3927E"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Eficiencia Terminal Media Superior</w:t>
            </w:r>
          </w:p>
        </w:tc>
        <w:tc>
          <w:tcPr>
            <w:tcW w:w="853" w:type="dxa"/>
            <w:tcBorders>
              <w:top w:val="nil"/>
              <w:left w:val="nil"/>
              <w:bottom w:val="nil"/>
              <w:right w:val="single" w:sz="4" w:space="0" w:color="auto"/>
            </w:tcBorders>
            <w:shd w:val="clear" w:color="auto" w:fill="auto"/>
            <w:noWrap/>
            <w:vAlign w:val="bottom"/>
            <w:hideMark/>
          </w:tcPr>
          <w:p w14:paraId="1C77A027"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SEP</w:t>
            </w:r>
          </w:p>
        </w:tc>
        <w:tc>
          <w:tcPr>
            <w:tcW w:w="403" w:type="dxa"/>
            <w:tcBorders>
              <w:top w:val="nil"/>
              <w:left w:val="nil"/>
              <w:bottom w:val="nil"/>
              <w:right w:val="single" w:sz="4" w:space="0" w:color="auto"/>
            </w:tcBorders>
            <w:shd w:val="clear" w:color="auto" w:fill="auto"/>
            <w:noWrap/>
            <w:vAlign w:val="bottom"/>
            <w:hideMark/>
          </w:tcPr>
          <w:p w14:paraId="3447AA5F"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15</w:t>
            </w:r>
          </w:p>
        </w:tc>
        <w:tc>
          <w:tcPr>
            <w:tcW w:w="774" w:type="dxa"/>
            <w:tcBorders>
              <w:top w:val="nil"/>
              <w:left w:val="nil"/>
              <w:bottom w:val="nil"/>
              <w:right w:val="single" w:sz="4" w:space="0" w:color="auto"/>
            </w:tcBorders>
            <w:shd w:val="clear" w:color="auto" w:fill="auto"/>
            <w:noWrap/>
            <w:vAlign w:val="bottom"/>
            <w:hideMark/>
          </w:tcPr>
          <w:p w14:paraId="3C5FCCD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63.60</w:t>
            </w:r>
          </w:p>
        </w:tc>
        <w:tc>
          <w:tcPr>
            <w:tcW w:w="1217" w:type="dxa"/>
            <w:tcBorders>
              <w:top w:val="nil"/>
              <w:left w:val="nil"/>
              <w:bottom w:val="nil"/>
              <w:right w:val="single" w:sz="4" w:space="0" w:color="auto"/>
            </w:tcBorders>
            <w:shd w:val="clear" w:color="auto" w:fill="auto"/>
            <w:noWrap/>
            <w:vAlign w:val="bottom"/>
            <w:hideMark/>
          </w:tcPr>
          <w:p w14:paraId="42411A49"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Porcentaje</w:t>
            </w:r>
          </w:p>
        </w:tc>
        <w:tc>
          <w:tcPr>
            <w:tcW w:w="647" w:type="dxa"/>
            <w:tcBorders>
              <w:top w:val="nil"/>
              <w:left w:val="nil"/>
              <w:bottom w:val="nil"/>
              <w:right w:val="single" w:sz="4" w:space="0" w:color="auto"/>
            </w:tcBorders>
            <w:shd w:val="clear" w:color="auto" w:fill="auto"/>
            <w:noWrap/>
            <w:vAlign w:val="bottom"/>
            <w:hideMark/>
          </w:tcPr>
          <w:p w14:paraId="569A2A6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69" w:type="dxa"/>
            <w:tcBorders>
              <w:top w:val="nil"/>
              <w:left w:val="nil"/>
              <w:bottom w:val="nil"/>
              <w:right w:val="single" w:sz="4" w:space="0" w:color="auto"/>
            </w:tcBorders>
            <w:shd w:val="clear" w:color="auto" w:fill="auto"/>
            <w:noWrap/>
            <w:vAlign w:val="bottom"/>
            <w:hideMark/>
          </w:tcPr>
          <w:p w14:paraId="73588621"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59.10</w:t>
            </w:r>
          </w:p>
        </w:tc>
        <w:tc>
          <w:tcPr>
            <w:tcW w:w="687" w:type="dxa"/>
            <w:tcBorders>
              <w:top w:val="nil"/>
              <w:left w:val="nil"/>
              <w:bottom w:val="nil"/>
              <w:right w:val="single" w:sz="4" w:space="0" w:color="auto"/>
            </w:tcBorders>
            <w:shd w:val="clear" w:color="auto" w:fill="auto"/>
            <w:noWrap/>
            <w:vAlign w:val="bottom"/>
            <w:hideMark/>
          </w:tcPr>
          <w:p w14:paraId="261E975A"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63.30</w:t>
            </w:r>
          </w:p>
        </w:tc>
        <w:tc>
          <w:tcPr>
            <w:tcW w:w="689" w:type="dxa"/>
            <w:tcBorders>
              <w:top w:val="nil"/>
              <w:left w:val="nil"/>
              <w:bottom w:val="nil"/>
              <w:right w:val="single" w:sz="4" w:space="0" w:color="auto"/>
            </w:tcBorders>
            <w:shd w:val="clear" w:color="auto" w:fill="auto"/>
            <w:noWrap/>
            <w:vAlign w:val="bottom"/>
            <w:hideMark/>
          </w:tcPr>
          <w:p w14:paraId="7EA118CE"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63.40</w:t>
            </w:r>
          </w:p>
        </w:tc>
        <w:tc>
          <w:tcPr>
            <w:tcW w:w="687" w:type="dxa"/>
            <w:tcBorders>
              <w:top w:val="nil"/>
              <w:left w:val="nil"/>
              <w:bottom w:val="nil"/>
              <w:right w:val="single" w:sz="4" w:space="0" w:color="auto"/>
            </w:tcBorders>
            <w:shd w:val="clear" w:color="auto" w:fill="auto"/>
            <w:noWrap/>
            <w:vAlign w:val="bottom"/>
            <w:hideMark/>
          </w:tcPr>
          <w:p w14:paraId="0541911F"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63.90</w:t>
            </w:r>
          </w:p>
        </w:tc>
        <w:tc>
          <w:tcPr>
            <w:tcW w:w="687" w:type="dxa"/>
            <w:tcBorders>
              <w:top w:val="nil"/>
              <w:left w:val="nil"/>
              <w:bottom w:val="nil"/>
              <w:right w:val="single" w:sz="4" w:space="0" w:color="auto"/>
            </w:tcBorders>
            <w:shd w:val="clear" w:color="auto" w:fill="auto"/>
            <w:noWrap/>
            <w:vAlign w:val="bottom"/>
            <w:hideMark/>
          </w:tcPr>
          <w:p w14:paraId="3F691686"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63.40</w:t>
            </w:r>
          </w:p>
        </w:tc>
      </w:tr>
      <w:tr w:rsidR="009B176F" w:rsidRPr="000B7E06" w14:paraId="3CE50A85" w14:textId="77777777" w:rsidTr="000B7E06">
        <w:trPr>
          <w:trHeight w:val="255"/>
          <w:jc w:val="center"/>
        </w:trPr>
        <w:tc>
          <w:tcPr>
            <w:tcW w:w="1987" w:type="dxa"/>
            <w:tcBorders>
              <w:top w:val="nil"/>
              <w:left w:val="single" w:sz="4" w:space="0" w:color="auto"/>
              <w:bottom w:val="nil"/>
              <w:right w:val="single" w:sz="4" w:space="0" w:color="auto"/>
            </w:tcBorders>
            <w:shd w:val="clear" w:color="auto" w:fill="auto"/>
            <w:vAlign w:val="bottom"/>
            <w:hideMark/>
          </w:tcPr>
          <w:p w14:paraId="1F263EC7"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Tasa neta escolarización Preescolar</w:t>
            </w:r>
          </w:p>
        </w:tc>
        <w:tc>
          <w:tcPr>
            <w:tcW w:w="853" w:type="dxa"/>
            <w:tcBorders>
              <w:top w:val="nil"/>
              <w:left w:val="nil"/>
              <w:bottom w:val="nil"/>
              <w:right w:val="single" w:sz="4" w:space="0" w:color="auto"/>
            </w:tcBorders>
            <w:shd w:val="clear" w:color="auto" w:fill="auto"/>
            <w:noWrap/>
            <w:vAlign w:val="bottom"/>
            <w:hideMark/>
          </w:tcPr>
          <w:p w14:paraId="19432DB7"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SEP</w:t>
            </w:r>
          </w:p>
        </w:tc>
        <w:tc>
          <w:tcPr>
            <w:tcW w:w="403" w:type="dxa"/>
            <w:tcBorders>
              <w:top w:val="nil"/>
              <w:left w:val="nil"/>
              <w:bottom w:val="nil"/>
              <w:right w:val="single" w:sz="4" w:space="0" w:color="auto"/>
            </w:tcBorders>
            <w:shd w:val="clear" w:color="auto" w:fill="auto"/>
            <w:noWrap/>
            <w:vAlign w:val="bottom"/>
            <w:hideMark/>
          </w:tcPr>
          <w:p w14:paraId="413D7BA7"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774" w:type="dxa"/>
            <w:tcBorders>
              <w:top w:val="nil"/>
              <w:left w:val="nil"/>
              <w:bottom w:val="nil"/>
              <w:right w:val="single" w:sz="4" w:space="0" w:color="auto"/>
            </w:tcBorders>
            <w:shd w:val="clear" w:color="auto" w:fill="auto"/>
            <w:noWrap/>
            <w:vAlign w:val="bottom"/>
            <w:hideMark/>
          </w:tcPr>
          <w:p w14:paraId="6EBD9C04"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71.90</w:t>
            </w:r>
          </w:p>
        </w:tc>
        <w:tc>
          <w:tcPr>
            <w:tcW w:w="1217" w:type="dxa"/>
            <w:tcBorders>
              <w:top w:val="nil"/>
              <w:left w:val="nil"/>
              <w:bottom w:val="nil"/>
              <w:right w:val="single" w:sz="4" w:space="0" w:color="auto"/>
            </w:tcBorders>
            <w:shd w:val="clear" w:color="auto" w:fill="auto"/>
            <w:noWrap/>
            <w:vAlign w:val="bottom"/>
            <w:hideMark/>
          </w:tcPr>
          <w:p w14:paraId="7B174A4C"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Porcentaje</w:t>
            </w:r>
          </w:p>
        </w:tc>
        <w:tc>
          <w:tcPr>
            <w:tcW w:w="647" w:type="dxa"/>
            <w:tcBorders>
              <w:top w:val="nil"/>
              <w:left w:val="nil"/>
              <w:bottom w:val="nil"/>
              <w:right w:val="single" w:sz="4" w:space="0" w:color="auto"/>
            </w:tcBorders>
            <w:shd w:val="clear" w:color="auto" w:fill="auto"/>
            <w:noWrap/>
            <w:vAlign w:val="bottom"/>
            <w:hideMark/>
          </w:tcPr>
          <w:p w14:paraId="478A47C2"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69" w:type="dxa"/>
            <w:tcBorders>
              <w:top w:val="nil"/>
              <w:left w:val="nil"/>
              <w:bottom w:val="nil"/>
              <w:right w:val="single" w:sz="4" w:space="0" w:color="auto"/>
            </w:tcBorders>
            <w:shd w:val="clear" w:color="auto" w:fill="auto"/>
            <w:noWrap/>
            <w:vAlign w:val="bottom"/>
            <w:hideMark/>
          </w:tcPr>
          <w:p w14:paraId="1EEFCAF3"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87" w:type="dxa"/>
            <w:tcBorders>
              <w:top w:val="nil"/>
              <w:left w:val="nil"/>
              <w:bottom w:val="nil"/>
              <w:right w:val="single" w:sz="4" w:space="0" w:color="auto"/>
            </w:tcBorders>
            <w:shd w:val="clear" w:color="auto" w:fill="auto"/>
            <w:noWrap/>
            <w:vAlign w:val="bottom"/>
            <w:hideMark/>
          </w:tcPr>
          <w:p w14:paraId="70498E36"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89" w:type="dxa"/>
            <w:tcBorders>
              <w:top w:val="nil"/>
              <w:left w:val="nil"/>
              <w:bottom w:val="nil"/>
              <w:right w:val="single" w:sz="4" w:space="0" w:color="auto"/>
            </w:tcBorders>
            <w:shd w:val="clear" w:color="auto" w:fill="auto"/>
            <w:noWrap/>
            <w:vAlign w:val="bottom"/>
            <w:hideMark/>
          </w:tcPr>
          <w:p w14:paraId="50E1A7D3"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71.40</w:t>
            </w:r>
          </w:p>
        </w:tc>
        <w:tc>
          <w:tcPr>
            <w:tcW w:w="687" w:type="dxa"/>
            <w:tcBorders>
              <w:top w:val="nil"/>
              <w:left w:val="nil"/>
              <w:bottom w:val="nil"/>
              <w:right w:val="single" w:sz="4" w:space="0" w:color="auto"/>
            </w:tcBorders>
            <w:shd w:val="clear" w:color="auto" w:fill="auto"/>
            <w:noWrap/>
            <w:vAlign w:val="bottom"/>
            <w:hideMark/>
          </w:tcPr>
          <w:p w14:paraId="7BF02D61"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74.20</w:t>
            </w:r>
          </w:p>
        </w:tc>
        <w:tc>
          <w:tcPr>
            <w:tcW w:w="687" w:type="dxa"/>
            <w:tcBorders>
              <w:top w:val="nil"/>
              <w:left w:val="nil"/>
              <w:bottom w:val="nil"/>
              <w:right w:val="single" w:sz="4" w:space="0" w:color="auto"/>
            </w:tcBorders>
            <w:shd w:val="clear" w:color="auto" w:fill="auto"/>
            <w:noWrap/>
            <w:vAlign w:val="bottom"/>
            <w:hideMark/>
          </w:tcPr>
          <w:p w14:paraId="4809D96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76.50</w:t>
            </w:r>
          </w:p>
        </w:tc>
      </w:tr>
      <w:tr w:rsidR="009B176F" w:rsidRPr="000B7E06" w14:paraId="48C9EBD9" w14:textId="77777777" w:rsidTr="000B7E06">
        <w:trPr>
          <w:trHeight w:val="255"/>
          <w:jc w:val="center"/>
        </w:trPr>
        <w:tc>
          <w:tcPr>
            <w:tcW w:w="1987" w:type="dxa"/>
            <w:tcBorders>
              <w:top w:val="nil"/>
              <w:left w:val="single" w:sz="4" w:space="0" w:color="auto"/>
              <w:bottom w:val="nil"/>
              <w:right w:val="single" w:sz="4" w:space="0" w:color="auto"/>
            </w:tcBorders>
            <w:shd w:val="clear" w:color="auto" w:fill="auto"/>
            <w:vAlign w:val="bottom"/>
            <w:hideMark/>
          </w:tcPr>
          <w:p w14:paraId="39D17791"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Tasa neta escolarización Primaria</w:t>
            </w:r>
          </w:p>
        </w:tc>
        <w:tc>
          <w:tcPr>
            <w:tcW w:w="853" w:type="dxa"/>
            <w:tcBorders>
              <w:top w:val="nil"/>
              <w:left w:val="nil"/>
              <w:bottom w:val="nil"/>
              <w:right w:val="single" w:sz="4" w:space="0" w:color="auto"/>
            </w:tcBorders>
            <w:shd w:val="clear" w:color="auto" w:fill="auto"/>
            <w:noWrap/>
            <w:vAlign w:val="bottom"/>
            <w:hideMark/>
          </w:tcPr>
          <w:p w14:paraId="33E4DB0E"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SEP</w:t>
            </w:r>
          </w:p>
        </w:tc>
        <w:tc>
          <w:tcPr>
            <w:tcW w:w="403" w:type="dxa"/>
            <w:tcBorders>
              <w:top w:val="nil"/>
              <w:left w:val="nil"/>
              <w:bottom w:val="nil"/>
              <w:right w:val="single" w:sz="4" w:space="0" w:color="auto"/>
            </w:tcBorders>
            <w:shd w:val="clear" w:color="auto" w:fill="auto"/>
            <w:noWrap/>
            <w:vAlign w:val="bottom"/>
            <w:hideMark/>
          </w:tcPr>
          <w:p w14:paraId="6DB478B5"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774" w:type="dxa"/>
            <w:tcBorders>
              <w:top w:val="nil"/>
              <w:left w:val="nil"/>
              <w:bottom w:val="nil"/>
              <w:right w:val="single" w:sz="4" w:space="0" w:color="auto"/>
            </w:tcBorders>
            <w:shd w:val="clear" w:color="auto" w:fill="auto"/>
            <w:noWrap/>
            <w:vAlign w:val="bottom"/>
            <w:hideMark/>
          </w:tcPr>
          <w:p w14:paraId="3F87A2AD"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98.60</w:t>
            </w:r>
          </w:p>
        </w:tc>
        <w:tc>
          <w:tcPr>
            <w:tcW w:w="1217" w:type="dxa"/>
            <w:tcBorders>
              <w:top w:val="nil"/>
              <w:left w:val="nil"/>
              <w:bottom w:val="nil"/>
              <w:right w:val="single" w:sz="4" w:space="0" w:color="auto"/>
            </w:tcBorders>
            <w:shd w:val="clear" w:color="auto" w:fill="auto"/>
            <w:noWrap/>
            <w:vAlign w:val="bottom"/>
            <w:hideMark/>
          </w:tcPr>
          <w:p w14:paraId="5178A87A"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Porcentaje</w:t>
            </w:r>
          </w:p>
        </w:tc>
        <w:tc>
          <w:tcPr>
            <w:tcW w:w="647" w:type="dxa"/>
            <w:tcBorders>
              <w:top w:val="nil"/>
              <w:left w:val="nil"/>
              <w:bottom w:val="nil"/>
              <w:right w:val="single" w:sz="4" w:space="0" w:color="auto"/>
            </w:tcBorders>
            <w:shd w:val="clear" w:color="auto" w:fill="auto"/>
            <w:noWrap/>
            <w:vAlign w:val="bottom"/>
            <w:hideMark/>
          </w:tcPr>
          <w:p w14:paraId="1CE44429"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69" w:type="dxa"/>
            <w:tcBorders>
              <w:top w:val="nil"/>
              <w:left w:val="nil"/>
              <w:bottom w:val="nil"/>
              <w:right w:val="single" w:sz="4" w:space="0" w:color="auto"/>
            </w:tcBorders>
            <w:shd w:val="clear" w:color="auto" w:fill="auto"/>
            <w:noWrap/>
            <w:vAlign w:val="bottom"/>
            <w:hideMark/>
          </w:tcPr>
          <w:p w14:paraId="7C17ABB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87" w:type="dxa"/>
            <w:tcBorders>
              <w:top w:val="nil"/>
              <w:left w:val="nil"/>
              <w:bottom w:val="nil"/>
              <w:right w:val="single" w:sz="4" w:space="0" w:color="auto"/>
            </w:tcBorders>
            <w:shd w:val="clear" w:color="auto" w:fill="auto"/>
            <w:noWrap/>
            <w:vAlign w:val="bottom"/>
            <w:hideMark/>
          </w:tcPr>
          <w:p w14:paraId="3322742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89" w:type="dxa"/>
            <w:tcBorders>
              <w:top w:val="nil"/>
              <w:left w:val="nil"/>
              <w:bottom w:val="nil"/>
              <w:right w:val="single" w:sz="4" w:space="0" w:color="auto"/>
            </w:tcBorders>
            <w:shd w:val="clear" w:color="auto" w:fill="auto"/>
            <w:noWrap/>
            <w:vAlign w:val="bottom"/>
            <w:hideMark/>
          </w:tcPr>
          <w:p w14:paraId="4BCDCCC3"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94.50</w:t>
            </w:r>
          </w:p>
        </w:tc>
        <w:tc>
          <w:tcPr>
            <w:tcW w:w="687" w:type="dxa"/>
            <w:tcBorders>
              <w:top w:val="nil"/>
              <w:left w:val="nil"/>
              <w:bottom w:val="nil"/>
              <w:right w:val="single" w:sz="4" w:space="0" w:color="auto"/>
            </w:tcBorders>
            <w:shd w:val="clear" w:color="auto" w:fill="auto"/>
            <w:noWrap/>
            <w:vAlign w:val="bottom"/>
            <w:hideMark/>
          </w:tcPr>
          <w:p w14:paraId="31352637"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97.40</w:t>
            </w:r>
          </w:p>
        </w:tc>
        <w:tc>
          <w:tcPr>
            <w:tcW w:w="687" w:type="dxa"/>
            <w:tcBorders>
              <w:top w:val="nil"/>
              <w:left w:val="nil"/>
              <w:bottom w:val="nil"/>
              <w:right w:val="single" w:sz="4" w:space="0" w:color="auto"/>
            </w:tcBorders>
            <w:shd w:val="clear" w:color="auto" w:fill="auto"/>
            <w:noWrap/>
            <w:vAlign w:val="bottom"/>
            <w:hideMark/>
          </w:tcPr>
          <w:p w14:paraId="5F07C97F"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97.30</w:t>
            </w:r>
          </w:p>
        </w:tc>
      </w:tr>
      <w:tr w:rsidR="009B176F" w:rsidRPr="000B7E06" w14:paraId="7A8E2F37" w14:textId="77777777" w:rsidTr="000B7E06">
        <w:trPr>
          <w:trHeight w:val="255"/>
          <w:jc w:val="center"/>
        </w:trPr>
        <w:tc>
          <w:tcPr>
            <w:tcW w:w="1987" w:type="dxa"/>
            <w:tcBorders>
              <w:top w:val="nil"/>
              <w:left w:val="single" w:sz="4" w:space="0" w:color="auto"/>
              <w:bottom w:val="nil"/>
              <w:right w:val="single" w:sz="4" w:space="0" w:color="auto"/>
            </w:tcBorders>
            <w:shd w:val="clear" w:color="auto" w:fill="auto"/>
            <w:vAlign w:val="bottom"/>
            <w:hideMark/>
          </w:tcPr>
          <w:p w14:paraId="0569AE17"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Tasa neta escolarización Secundaria</w:t>
            </w:r>
          </w:p>
        </w:tc>
        <w:tc>
          <w:tcPr>
            <w:tcW w:w="853" w:type="dxa"/>
            <w:tcBorders>
              <w:top w:val="nil"/>
              <w:left w:val="nil"/>
              <w:bottom w:val="nil"/>
              <w:right w:val="single" w:sz="4" w:space="0" w:color="auto"/>
            </w:tcBorders>
            <w:shd w:val="clear" w:color="auto" w:fill="auto"/>
            <w:noWrap/>
            <w:vAlign w:val="bottom"/>
            <w:hideMark/>
          </w:tcPr>
          <w:p w14:paraId="42485C0E"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SEP</w:t>
            </w:r>
          </w:p>
        </w:tc>
        <w:tc>
          <w:tcPr>
            <w:tcW w:w="403" w:type="dxa"/>
            <w:tcBorders>
              <w:top w:val="nil"/>
              <w:left w:val="nil"/>
              <w:bottom w:val="nil"/>
              <w:right w:val="single" w:sz="4" w:space="0" w:color="auto"/>
            </w:tcBorders>
            <w:shd w:val="clear" w:color="auto" w:fill="auto"/>
            <w:noWrap/>
            <w:vAlign w:val="bottom"/>
            <w:hideMark/>
          </w:tcPr>
          <w:p w14:paraId="6D006BA9"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774" w:type="dxa"/>
            <w:tcBorders>
              <w:top w:val="nil"/>
              <w:left w:val="nil"/>
              <w:bottom w:val="nil"/>
              <w:right w:val="single" w:sz="4" w:space="0" w:color="auto"/>
            </w:tcBorders>
            <w:shd w:val="clear" w:color="auto" w:fill="auto"/>
            <w:noWrap/>
            <w:vAlign w:val="bottom"/>
            <w:hideMark/>
          </w:tcPr>
          <w:p w14:paraId="442F25C9"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87.60</w:t>
            </w:r>
          </w:p>
        </w:tc>
        <w:tc>
          <w:tcPr>
            <w:tcW w:w="1217" w:type="dxa"/>
            <w:tcBorders>
              <w:top w:val="nil"/>
              <w:left w:val="nil"/>
              <w:bottom w:val="nil"/>
              <w:right w:val="single" w:sz="4" w:space="0" w:color="auto"/>
            </w:tcBorders>
            <w:shd w:val="clear" w:color="auto" w:fill="auto"/>
            <w:noWrap/>
            <w:vAlign w:val="bottom"/>
            <w:hideMark/>
          </w:tcPr>
          <w:p w14:paraId="5FC95F5E"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Porcentaje</w:t>
            </w:r>
          </w:p>
        </w:tc>
        <w:tc>
          <w:tcPr>
            <w:tcW w:w="647" w:type="dxa"/>
            <w:tcBorders>
              <w:top w:val="nil"/>
              <w:left w:val="nil"/>
              <w:bottom w:val="nil"/>
              <w:right w:val="single" w:sz="4" w:space="0" w:color="auto"/>
            </w:tcBorders>
            <w:shd w:val="clear" w:color="auto" w:fill="auto"/>
            <w:noWrap/>
            <w:vAlign w:val="bottom"/>
            <w:hideMark/>
          </w:tcPr>
          <w:p w14:paraId="4B5C80B3"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69" w:type="dxa"/>
            <w:tcBorders>
              <w:top w:val="nil"/>
              <w:left w:val="nil"/>
              <w:bottom w:val="nil"/>
              <w:right w:val="single" w:sz="4" w:space="0" w:color="auto"/>
            </w:tcBorders>
            <w:shd w:val="clear" w:color="auto" w:fill="auto"/>
            <w:noWrap/>
            <w:vAlign w:val="bottom"/>
            <w:hideMark/>
          </w:tcPr>
          <w:p w14:paraId="36C22DEB"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87" w:type="dxa"/>
            <w:tcBorders>
              <w:top w:val="nil"/>
              <w:left w:val="nil"/>
              <w:bottom w:val="nil"/>
              <w:right w:val="single" w:sz="4" w:space="0" w:color="auto"/>
            </w:tcBorders>
            <w:shd w:val="clear" w:color="auto" w:fill="auto"/>
            <w:noWrap/>
            <w:vAlign w:val="bottom"/>
            <w:hideMark/>
          </w:tcPr>
          <w:p w14:paraId="52685082"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89" w:type="dxa"/>
            <w:tcBorders>
              <w:top w:val="nil"/>
              <w:left w:val="nil"/>
              <w:bottom w:val="nil"/>
              <w:right w:val="single" w:sz="4" w:space="0" w:color="auto"/>
            </w:tcBorders>
            <w:shd w:val="clear" w:color="auto" w:fill="auto"/>
            <w:noWrap/>
            <w:vAlign w:val="bottom"/>
            <w:hideMark/>
          </w:tcPr>
          <w:p w14:paraId="06E577A7"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73.40</w:t>
            </w:r>
          </w:p>
        </w:tc>
        <w:tc>
          <w:tcPr>
            <w:tcW w:w="687" w:type="dxa"/>
            <w:tcBorders>
              <w:top w:val="nil"/>
              <w:left w:val="nil"/>
              <w:bottom w:val="nil"/>
              <w:right w:val="single" w:sz="4" w:space="0" w:color="auto"/>
            </w:tcBorders>
            <w:shd w:val="clear" w:color="auto" w:fill="auto"/>
            <w:noWrap/>
            <w:vAlign w:val="bottom"/>
            <w:hideMark/>
          </w:tcPr>
          <w:p w14:paraId="2C2BEEC7"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76.40</w:t>
            </w:r>
          </w:p>
        </w:tc>
        <w:tc>
          <w:tcPr>
            <w:tcW w:w="687" w:type="dxa"/>
            <w:tcBorders>
              <w:top w:val="nil"/>
              <w:left w:val="nil"/>
              <w:bottom w:val="nil"/>
              <w:right w:val="single" w:sz="4" w:space="0" w:color="auto"/>
            </w:tcBorders>
            <w:shd w:val="clear" w:color="auto" w:fill="auto"/>
            <w:noWrap/>
            <w:vAlign w:val="bottom"/>
            <w:hideMark/>
          </w:tcPr>
          <w:p w14:paraId="2C74091C"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77.80</w:t>
            </w:r>
          </w:p>
        </w:tc>
      </w:tr>
      <w:tr w:rsidR="009B176F" w:rsidRPr="000B7E06" w14:paraId="7A108A4F" w14:textId="77777777" w:rsidTr="000B7E06">
        <w:trPr>
          <w:trHeight w:val="510"/>
          <w:jc w:val="center"/>
        </w:trPr>
        <w:tc>
          <w:tcPr>
            <w:tcW w:w="1987" w:type="dxa"/>
            <w:tcBorders>
              <w:top w:val="nil"/>
              <w:left w:val="single" w:sz="4" w:space="0" w:color="auto"/>
              <w:bottom w:val="nil"/>
              <w:right w:val="single" w:sz="4" w:space="0" w:color="auto"/>
            </w:tcBorders>
            <w:shd w:val="clear" w:color="auto" w:fill="auto"/>
            <w:vAlign w:val="bottom"/>
            <w:hideMark/>
          </w:tcPr>
          <w:p w14:paraId="3BB64C17"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Tasa neta escolarización Media Superior</w:t>
            </w:r>
          </w:p>
        </w:tc>
        <w:tc>
          <w:tcPr>
            <w:tcW w:w="853" w:type="dxa"/>
            <w:tcBorders>
              <w:top w:val="nil"/>
              <w:left w:val="nil"/>
              <w:bottom w:val="nil"/>
              <w:right w:val="single" w:sz="4" w:space="0" w:color="auto"/>
            </w:tcBorders>
            <w:shd w:val="clear" w:color="auto" w:fill="auto"/>
            <w:noWrap/>
            <w:vAlign w:val="bottom"/>
            <w:hideMark/>
          </w:tcPr>
          <w:p w14:paraId="5B91D29D"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SEP</w:t>
            </w:r>
          </w:p>
        </w:tc>
        <w:tc>
          <w:tcPr>
            <w:tcW w:w="403" w:type="dxa"/>
            <w:tcBorders>
              <w:top w:val="nil"/>
              <w:left w:val="nil"/>
              <w:bottom w:val="nil"/>
              <w:right w:val="single" w:sz="4" w:space="0" w:color="auto"/>
            </w:tcBorders>
            <w:shd w:val="clear" w:color="auto" w:fill="auto"/>
            <w:noWrap/>
            <w:vAlign w:val="bottom"/>
            <w:hideMark/>
          </w:tcPr>
          <w:p w14:paraId="0449BD16"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774" w:type="dxa"/>
            <w:tcBorders>
              <w:top w:val="nil"/>
              <w:left w:val="nil"/>
              <w:bottom w:val="nil"/>
              <w:right w:val="single" w:sz="4" w:space="0" w:color="auto"/>
            </w:tcBorders>
            <w:shd w:val="clear" w:color="auto" w:fill="auto"/>
            <w:noWrap/>
            <w:vAlign w:val="bottom"/>
            <w:hideMark/>
          </w:tcPr>
          <w:p w14:paraId="1BE7A5A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57.00</w:t>
            </w:r>
          </w:p>
        </w:tc>
        <w:tc>
          <w:tcPr>
            <w:tcW w:w="1217" w:type="dxa"/>
            <w:tcBorders>
              <w:top w:val="nil"/>
              <w:left w:val="nil"/>
              <w:bottom w:val="nil"/>
              <w:right w:val="single" w:sz="4" w:space="0" w:color="auto"/>
            </w:tcBorders>
            <w:shd w:val="clear" w:color="auto" w:fill="auto"/>
            <w:noWrap/>
            <w:vAlign w:val="bottom"/>
            <w:hideMark/>
          </w:tcPr>
          <w:p w14:paraId="20C99A2F"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Porcentaje</w:t>
            </w:r>
          </w:p>
        </w:tc>
        <w:tc>
          <w:tcPr>
            <w:tcW w:w="647" w:type="dxa"/>
            <w:tcBorders>
              <w:top w:val="nil"/>
              <w:left w:val="nil"/>
              <w:bottom w:val="nil"/>
              <w:right w:val="single" w:sz="4" w:space="0" w:color="auto"/>
            </w:tcBorders>
            <w:shd w:val="clear" w:color="auto" w:fill="auto"/>
            <w:noWrap/>
            <w:vAlign w:val="bottom"/>
            <w:hideMark/>
          </w:tcPr>
          <w:p w14:paraId="712CB33F"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69" w:type="dxa"/>
            <w:tcBorders>
              <w:top w:val="nil"/>
              <w:left w:val="nil"/>
              <w:bottom w:val="nil"/>
              <w:right w:val="single" w:sz="4" w:space="0" w:color="auto"/>
            </w:tcBorders>
            <w:shd w:val="clear" w:color="auto" w:fill="auto"/>
            <w:noWrap/>
            <w:vAlign w:val="bottom"/>
            <w:hideMark/>
          </w:tcPr>
          <w:p w14:paraId="5AE55E3D"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87" w:type="dxa"/>
            <w:tcBorders>
              <w:top w:val="nil"/>
              <w:left w:val="nil"/>
              <w:bottom w:val="nil"/>
              <w:right w:val="single" w:sz="4" w:space="0" w:color="auto"/>
            </w:tcBorders>
            <w:shd w:val="clear" w:color="auto" w:fill="auto"/>
            <w:noWrap/>
            <w:vAlign w:val="bottom"/>
            <w:hideMark/>
          </w:tcPr>
          <w:p w14:paraId="2C5D28CC"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89" w:type="dxa"/>
            <w:tcBorders>
              <w:top w:val="nil"/>
              <w:left w:val="nil"/>
              <w:bottom w:val="nil"/>
              <w:right w:val="single" w:sz="4" w:space="0" w:color="auto"/>
            </w:tcBorders>
            <w:shd w:val="clear" w:color="auto" w:fill="auto"/>
            <w:noWrap/>
            <w:vAlign w:val="bottom"/>
            <w:hideMark/>
          </w:tcPr>
          <w:p w14:paraId="0CF2DD66"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44.40</w:t>
            </w:r>
          </w:p>
        </w:tc>
        <w:tc>
          <w:tcPr>
            <w:tcW w:w="687" w:type="dxa"/>
            <w:tcBorders>
              <w:top w:val="nil"/>
              <w:left w:val="nil"/>
              <w:bottom w:val="nil"/>
              <w:right w:val="single" w:sz="4" w:space="0" w:color="auto"/>
            </w:tcBorders>
            <w:shd w:val="clear" w:color="auto" w:fill="auto"/>
            <w:noWrap/>
            <w:vAlign w:val="bottom"/>
            <w:hideMark/>
          </w:tcPr>
          <w:p w14:paraId="5C2449E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44.90</w:t>
            </w:r>
          </w:p>
        </w:tc>
        <w:tc>
          <w:tcPr>
            <w:tcW w:w="687" w:type="dxa"/>
            <w:tcBorders>
              <w:top w:val="nil"/>
              <w:left w:val="nil"/>
              <w:bottom w:val="nil"/>
              <w:right w:val="single" w:sz="4" w:space="0" w:color="auto"/>
            </w:tcBorders>
            <w:shd w:val="clear" w:color="auto" w:fill="auto"/>
            <w:noWrap/>
            <w:vAlign w:val="bottom"/>
            <w:hideMark/>
          </w:tcPr>
          <w:p w14:paraId="7732FC93"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49.40</w:t>
            </w:r>
          </w:p>
        </w:tc>
      </w:tr>
      <w:tr w:rsidR="009B176F" w:rsidRPr="000B7E06" w14:paraId="1E2ECB2D" w14:textId="77777777" w:rsidTr="000B7E06">
        <w:trPr>
          <w:trHeight w:val="255"/>
          <w:jc w:val="center"/>
        </w:trPr>
        <w:tc>
          <w:tcPr>
            <w:tcW w:w="1987" w:type="dxa"/>
            <w:tcBorders>
              <w:top w:val="nil"/>
              <w:left w:val="single" w:sz="4" w:space="0" w:color="auto"/>
              <w:bottom w:val="nil"/>
              <w:right w:val="single" w:sz="4" w:space="0" w:color="auto"/>
            </w:tcBorders>
            <w:shd w:val="clear" w:color="auto" w:fill="auto"/>
            <w:vAlign w:val="bottom"/>
            <w:hideMark/>
          </w:tcPr>
          <w:p w14:paraId="67970317"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Cobertura en Educación Superior</w:t>
            </w:r>
          </w:p>
        </w:tc>
        <w:tc>
          <w:tcPr>
            <w:tcW w:w="853" w:type="dxa"/>
            <w:tcBorders>
              <w:top w:val="nil"/>
              <w:left w:val="nil"/>
              <w:bottom w:val="nil"/>
              <w:right w:val="single" w:sz="4" w:space="0" w:color="auto"/>
            </w:tcBorders>
            <w:shd w:val="clear" w:color="auto" w:fill="auto"/>
            <w:noWrap/>
            <w:vAlign w:val="bottom"/>
            <w:hideMark/>
          </w:tcPr>
          <w:p w14:paraId="275E7614"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SEP</w:t>
            </w:r>
          </w:p>
        </w:tc>
        <w:tc>
          <w:tcPr>
            <w:tcW w:w="403" w:type="dxa"/>
            <w:tcBorders>
              <w:top w:val="nil"/>
              <w:left w:val="nil"/>
              <w:bottom w:val="nil"/>
              <w:right w:val="single" w:sz="4" w:space="0" w:color="auto"/>
            </w:tcBorders>
            <w:shd w:val="clear" w:color="auto" w:fill="auto"/>
            <w:noWrap/>
            <w:vAlign w:val="bottom"/>
            <w:hideMark/>
          </w:tcPr>
          <w:p w14:paraId="6DE4A63E"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774" w:type="dxa"/>
            <w:tcBorders>
              <w:top w:val="nil"/>
              <w:left w:val="nil"/>
              <w:bottom w:val="nil"/>
              <w:right w:val="single" w:sz="4" w:space="0" w:color="auto"/>
            </w:tcBorders>
            <w:shd w:val="clear" w:color="auto" w:fill="auto"/>
            <w:noWrap/>
            <w:vAlign w:val="bottom"/>
            <w:hideMark/>
          </w:tcPr>
          <w:p w14:paraId="77CA9593"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34.10</w:t>
            </w:r>
          </w:p>
        </w:tc>
        <w:tc>
          <w:tcPr>
            <w:tcW w:w="1217" w:type="dxa"/>
            <w:tcBorders>
              <w:top w:val="nil"/>
              <w:left w:val="nil"/>
              <w:bottom w:val="nil"/>
              <w:right w:val="single" w:sz="4" w:space="0" w:color="auto"/>
            </w:tcBorders>
            <w:shd w:val="clear" w:color="auto" w:fill="auto"/>
            <w:noWrap/>
            <w:vAlign w:val="bottom"/>
            <w:hideMark/>
          </w:tcPr>
          <w:p w14:paraId="31D92EC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Porcentaje</w:t>
            </w:r>
          </w:p>
        </w:tc>
        <w:tc>
          <w:tcPr>
            <w:tcW w:w="647" w:type="dxa"/>
            <w:tcBorders>
              <w:top w:val="nil"/>
              <w:left w:val="nil"/>
              <w:bottom w:val="nil"/>
              <w:right w:val="single" w:sz="4" w:space="0" w:color="auto"/>
            </w:tcBorders>
            <w:shd w:val="clear" w:color="auto" w:fill="auto"/>
            <w:noWrap/>
            <w:vAlign w:val="bottom"/>
            <w:hideMark/>
          </w:tcPr>
          <w:p w14:paraId="73E34973"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69" w:type="dxa"/>
            <w:tcBorders>
              <w:top w:val="nil"/>
              <w:left w:val="nil"/>
              <w:bottom w:val="nil"/>
              <w:right w:val="single" w:sz="4" w:space="0" w:color="auto"/>
            </w:tcBorders>
            <w:shd w:val="clear" w:color="auto" w:fill="auto"/>
            <w:noWrap/>
            <w:vAlign w:val="bottom"/>
            <w:hideMark/>
          </w:tcPr>
          <w:p w14:paraId="7185A87A"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87" w:type="dxa"/>
            <w:tcBorders>
              <w:top w:val="nil"/>
              <w:left w:val="nil"/>
              <w:bottom w:val="nil"/>
              <w:right w:val="single" w:sz="4" w:space="0" w:color="auto"/>
            </w:tcBorders>
            <w:shd w:val="clear" w:color="auto" w:fill="auto"/>
            <w:noWrap/>
            <w:vAlign w:val="bottom"/>
            <w:hideMark/>
          </w:tcPr>
          <w:p w14:paraId="2F9D3925"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Calibri"/>
                <w:color w:val="000000"/>
                <w:sz w:val="16"/>
                <w:szCs w:val="16"/>
                <w:lang w:val="es-ES" w:eastAsia="es-ES"/>
              </w:rPr>
              <w:t> </w:t>
            </w:r>
          </w:p>
        </w:tc>
        <w:tc>
          <w:tcPr>
            <w:tcW w:w="689" w:type="dxa"/>
            <w:tcBorders>
              <w:top w:val="nil"/>
              <w:left w:val="nil"/>
              <w:bottom w:val="nil"/>
              <w:right w:val="single" w:sz="4" w:space="0" w:color="auto"/>
            </w:tcBorders>
            <w:shd w:val="clear" w:color="auto" w:fill="auto"/>
            <w:noWrap/>
            <w:vAlign w:val="bottom"/>
            <w:hideMark/>
          </w:tcPr>
          <w:p w14:paraId="3DA61EC7"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23.60</w:t>
            </w:r>
          </w:p>
        </w:tc>
        <w:tc>
          <w:tcPr>
            <w:tcW w:w="687" w:type="dxa"/>
            <w:tcBorders>
              <w:top w:val="nil"/>
              <w:left w:val="nil"/>
              <w:bottom w:val="nil"/>
              <w:right w:val="single" w:sz="4" w:space="0" w:color="auto"/>
            </w:tcBorders>
            <w:shd w:val="clear" w:color="auto" w:fill="auto"/>
            <w:noWrap/>
            <w:vAlign w:val="bottom"/>
            <w:hideMark/>
          </w:tcPr>
          <w:p w14:paraId="28F78612"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23.40</w:t>
            </w:r>
          </w:p>
        </w:tc>
        <w:tc>
          <w:tcPr>
            <w:tcW w:w="687" w:type="dxa"/>
            <w:tcBorders>
              <w:top w:val="nil"/>
              <w:left w:val="nil"/>
              <w:bottom w:val="nil"/>
              <w:right w:val="single" w:sz="4" w:space="0" w:color="auto"/>
            </w:tcBorders>
            <w:shd w:val="clear" w:color="auto" w:fill="auto"/>
            <w:noWrap/>
            <w:vAlign w:val="bottom"/>
            <w:hideMark/>
          </w:tcPr>
          <w:p w14:paraId="3ADF28D8"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23.50</w:t>
            </w:r>
          </w:p>
        </w:tc>
      </w:tr>
      <w:tr w:rsidR="009B176F" w:rsidRPr="000B7E06" w14:paraId="755EE79A" w14:textId="77777777" w:rsidTr="000B7E06">
        <w:trPr>
          <w:trHeight w:val="510"/>
          <w:jc w:val="center"/>
        </w:trPr>
        <w:tc>
          <w:tcPr>
            <w:tcW w:w="1987" w:type="dxa"/>
            <w:tcBorders>
              <w:top w:val="nil"/>
              <w:left w:val="single" w:sz="4" w:space="0" w:color="auto"/>
              <w:bottom w:val="nil"/>
              <w:right w:val="single" w:sz="4" w:space="0" w:color="auto"/>
            </w:tcBorders>
            <w:shd w:val="clear" w:color="auto" w:fill="auto"/>
            <w:vAlign w:val="bottom"/>
            <w:hideMark/>
          </w:tcPr>
          <w:p w14:paraId="0435359F"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Porcentaje de la población de 15 años y más analfabeta</w:t>
            </w:r>
          </w:p>
        </w:tc>
        <w:tc>
          <w:tcPr>
            <w:tcW w:w="853" w:type="dxa"/>
            <w:tcBorders>
              <w:top w:val="nil"/>
              <w:left w:val="nil"/>
              <w:bottom w:val="nil"/>
              <w:right w:val="single" w:sz="4" w:space="0" w:color="auto"/>
            </w:tcBorders>
            <w:shd w:val="clear" w:color="auto" w:fill="auto"/>
            <w:noWrap/>
            <w:vAlign w:val="bottom"/>
            <w:hideMark/>
          </w:tcPr>
          <w:p w14:paraId="0856D80D"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SEP</w:t>
            </w:r>
          </w:p>
        </w:tc>
        <w:tc>
          <w:tcPr>
            <w:tcW w:w="403" w:type="dxa"/>
            <w:tcBorders>
              <w:top w:val="nil"/>
              <w:left w:val="nil"/>
              <w:bottom w:val="nil"/>
              <w:right w:val="single" w:sz="4" w:space="0" w:color="auto"/>
            </w:tcBorders>
            <w:shd w:val="clear" w:color="auto" w:fill="auto"/>
            <w:noWrap/>
            <w:vAlign w:val="bottom"/>
            <w:hideMark/>
          </w:tcPr>
          <w:p w14:paraId="06AB228C"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w:t>
            </w:r>
          </w:p>
        </w:tc>
        <w:tc>
          <w:tcPr>
            <w:tcW w:w="774" w:type="dxa"/>
            <w:tcBorders>
              <w:top w:val="nil"/>
              <w:left w:val="nil"/>
              <w:bottom w:val="nil"/>
              <w:right w:val="single" w:sz="4" w:space="0" w:color="auto"/>
            </w:tcBorders>
            <w:shd w:val="clear" w:color="auto" w:fill="auto"/>
            <w:noWrap/>
            <w:vAlign w:val="bottom"/>
            <w:hideMark/>
          </w:tcPr>
          <w:p w14:paraId="6E5914B2"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5.70</w:t>
            </w:r>
          </w:p>
        </w:tc>
        <w:tc>
          <w:tcPr>
            <w:tcW w:w="1217" w:type="dxa"/>
            <w:tcBorders>
              <w:top w:val="nil"/>
              <w:left w:val="nil"/>
              <w:bottom w:val="nil"/>
              <w:right w:val="single" w:sz="4" w:space="0" w:color="auto"/>
            </w:tcBorders>
            <w:shd w:val="clear" w:color="auto" w:fill="auto"/>
            <w:noWrap/>
            <w:vAlign w:val="bottom"/>
            <w:hideMark/>
          </w:tcPr>
          <w:p w14:paraId="6A7BE793"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Porcentaje</w:t>
            </w:r>
          </w:p>
        </w:tc>
        <w:tc>
          <w:tcPr>
            <w:tcW w:w="647" w:type="dxa"/>
            <w:tcBorders>
              <w:top w:val="nil"/>
              <w:left w:val="nil"/>
              <w:bottom w:val="nil"/>
              <w:right w:val="single" w:sz="4" w:space="0" w:color="auto"/>
            </w:tcBorders>
            <w:shd w:val="clear" w:color="auto" w:fill="auto"/>
            <w:noWrap/>
            <w:vAlign w:val="bottom"/>
            <w:hideMark/>
          </w:tcPr>
          <w:p w14:paraId="2E6FD66F"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69" w:type="dxa"/>
            <w:tcBorders>
              <w:top w:val="nil"/>
              <w:left w:val="nil"/>
              <w:bottom w:val="nil"/>
              <w:right w:val="single" w:sz="4" w:space="0" w:color="auto"/>
            </w:tcBorders>
            <w:shd w:val="clear" w:color="auto" w:fill="auto"/>
            <w:noWrap/>
            <w:vAlign w:val="bottom"/>
            <w:hideMark/>
          </w:tcPr>
          <w:p w14:paraId="1382269C"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11.0</w:t>
            </w:r>
          </w:p>
        </w:tc>
        <w:tc>
          <w:tcPr>
            <w:tcW w:w="687" w:type="dxa"/>
            <w:tcBorders>
              <w:top w:val="nil"/>
              <w:left w:val="nil"/>
              <w:bottom w:val="nil"/>
              <w:right w:val="single" w:sz="4" w:space="0" w:color="auto"/>
            </w:tcBorders>
            <w:shd w:val="clear" w:color="auto" w:fill="auto"/>
            <w:noWrap/>
            <w:vAlign w:val="bottom"/>
            <w:hideMark/>
          </w:tcPr>
          <w:p w14:paraId="030FF0B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10.60</w:t>
            </w:r>
          </w:p>
        </w:tc>
        <w:tc>
          <w:tcPr>
            <w:tcW w:w="689" w:type="dxa"/>
            <w:tcBorders>
              <w:top w:val="nil"/>
              <w:left w:val="nil"/>
              <w:bottom w:val="nil"/>
              <w:right w:val="single" w:sz="4" w:space="0" w:color="auto"/>
            </w:tcBorders>
            <w:shd w:val="clear" w:color="auto" w:fill="auto"/>
            <w:noWrap/>
            <w:vAlign w:val="bottom"/>
            <w:hideMark/>
          </w:tcPr>
          <w:p w14:paraId="15914464"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9.30</w:t>
            </w:r>
          </w:p>
        </w:tc>
        <w:tc>
          <w:tcPr>
            <w:tcW w:w="687" w:type="dxa"/>
            <w:tcBorders>
              <w:top w:val="nil"/>
              <w:left w:val="nil"/>
              <w:bottom w:val="nil"/>
              <w:right w:val="single" w:sz="4" w:space="0" w:color="auto"/>
            </w:tcBorders>
            <w:shd w:val="clear" w:color="auto" w:fill="auto"/>
            <w:noWrap/>
            <w:vAlign w:val="bottom"/>
            <w:hideMark/>
          </w:tcPr>
          <w:p w14:paraId="00F96981"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8.80</w:t>
            </w:r>
          </w:p>
        </w:tc>
        <w:tc>
          <w:tcPr>
            <w:tcW w:w="687" w:type="dxa"/>
            <w:tcBorders>
              <w:top w:val="nil"/>
              <w:left w:val="nil"/>
              <w:bottom w:val="nil"/>
              <w:right w:val="single" w:sz="4" w:space="0" w:color="auto"/>
            </w:tcBorders>
            <w:shd w:val="clear" w:color="auto" w:fill="auto"/>
            <w:noWrap/>
            <w:vAlign w:val="bottom"/>
            <w:hideMark/>
          </w:tcPr>
          <w:p w14:paraId="7B5134AE"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8.20</w:t>
            </w:r>
          </w:p>
        </w:tc>
      </w:tr>
      <w:tr w:rsidR="009B176F" w:rsidRPr="000B7E06" w14:paraId="72548E58" w14:textId="77777777" w:rsidTr="000B7E06">
        <w:trPr>
          <w:trHeight w:val="255"/>
          <w:jc w:val="center"/>
        </w:trPr>
        <w:tc>
          <w:tcPr>
            <w:tcW w:w="1987" w:type="dxa"/>
            <w:tcBorders>
              <w:top w:val="nil"/>
              <w:left w:val="single" w:sz="4" w:space="0" w:color="auto"/>
              <w:bottom w:val="single" w:sz="4" w:space="0" w:color="auto"/>
              <w:right w:val="single" w:sz="4" w:space="0" w:color="auto"/>
            </w:tcBorders>
            <w:shd w:val="clear" w:color="auto" w:fill="auto"/>
            <w:vAlign w:val="bottom"/>
            <w:hideMark/>
          </w:tcPr>
          <w:p w14:paraId="54E7F601"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Grado promedio de escolaridad</w:t>
            </w:r>
          </w:p>
        </w:tc>
        <w:tc>
          <w:tcPr>
            <w:tcW w:w="853" w:type="dxa"/>
            <w:tcBorders>
              <w:top w:val="nil"/>
              <w:left w:val="nil"/>
              <w:bottom w:val="single" w:sz="4" w:space="0" w:color="auto"/>
              <w:right w:val="single" w:sz="4" w:space="0" w:color="auto"/>
            </w:tcBorders>
            <w:shd w:val="clear" w:color="auto" w:fill="auto"/>
            <w:noWrap/>
            <w:vAlign w:val="bottom"/>
            <w:hideMark/>
          </w:tcPr>
          <w:p w14:paraId="61D57654"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SEP</w:t>
            </w:r>
          </w:p>
        </w:tc>
        <w:tc>
          <w:tcPr>
            <w:tcW w:w="403" w:type="dxa"/>
            <w:tcBorders>
              <w:top w:val="nil"/>
              <w:left w:val="nil"/>
              <w:bottom w:val="single" w:sz="4" w:space="0" w:color="auto"/>
              <w:right w:val="single" w:sz="4" w:space="0" w:color="auto"/>
            </w:tcBorders>
            <w:shd w:val="clear" w:color="auto" w:fill="auto"/>
            <w:noWrap/>
            <w:vAlign w:val="bottom"/>
            <w:hideMark/>
          </w:tcPr>
          <w:p w14:paraId="552958EB"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29</w:t>
            </w:r>
          </w:p>
        </w:tc>
        <w:tc>
          <w:tcPr>
            <w:tcW w:w="774" w:type="dxa"/>
            <w:tcBorders>
              <w:top w:val="nil"/>
              <w:left w:val="nil"/>
              <w:bottom w:val="single" w:sz="4" w:space="0" w:color="auto"/>
              <w:right w:val="single" w:sz="4" w:space="0" w:color="auto"/>
            </w:tcBorders>
            <w:shd w:val="clear" w:color="auto" w:fill="auto"/>
            <w:noWrap/>
            <w:vAlign w:val="bottom"/>
            <w:hideMark/>
          </w:tcPr>
          <w:p w14:paraId="2E45187F"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9.10</w:t>
            </w:r>
          </w:p>
        </w:tc>
        <w:tc>
          <w:tcPr>
            <w:tcW w:w="1217" w:type="dxa"/>
            <w:tcBorders>
              <w:top w:val="nil"/>
              <w:left w:val="nil"/>
              <w:bottom w:val="single" w:sz="4" w:space="0" w:color="auto"/>
              <w:right w:val="single" w:sz="4" w:space="0" w:color="auto"/>
            </w:tcBorders>
            <w:shd w:val="clear" w:color="auto" w:fill="auto"/>
            <w:noWrap/>
            <w:vAlign w:val="bottom"/>
            <w:hideMark/>
          </w:tcPr>
          <w:p w14:paraId="2BC993E8"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Años</w:t>
            </w:r>
          </w:p>
        </w:tc>
        <w:tc>
          <w:tcPr>
            <w:tcW w:w="647" w:type="dxa"/>
            <w:tcBorders>
              <w:top w:val="nil"/>
              <w:left w:val="nil"/>
              <w:bottom w:val="single" w:sz="4" w:space="0" w:color="auto"/>
              <w:right w:val="single" w:sz="4" w:space="0" w:color="auto"/>
            </w:tcBorders>
            <w:shd w:val="clear" w:color="auto" w:fill="auto"/>
            <w:noWrap/>
            <w:vAlign w:val="bottom"/>
            <w:hideMark/>
          </w:tcPr>
          <w:p w14:paraId="6F3C07F7"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69" w:type="dxa"/>
            <w:tcBorders>
              <w:top w:val="nil"/>
              <w:left w:val="nil"/>
              <w:bottom w:val="single" w:sz="4" w:space="0" w:color="auto"/>
              <w:right w:val="single" w:sz="4" w:space="0" w:color="auto"/>
            </w:tcBorders>
            <w:shd w:val="clear" w:color="auto" w:fill="auto"/>
            <w:noWrap/>
            <w:vAlign w:val="bottom"/>
            <w:hideMark/>
          </w:tcPr>
          <w:p w14:paraId="6D0A8304"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7.30</w:t>
            </w:r>
          </w:p>
        </w:tc>
        <w:tc>
          <w:tcPr>
            <w:tcW w:w="687" w:type="dxa"/>
            <w:tcBorders>
              <w:top w:val="nil"/>
              <w:left w:val="nil"/>
              <w:bottom w:val="single" w:sz="4" w:space="0" w:color="auto"/>
              <w:right w:val="single" w:sz="4" w:space="0" w:color="auto"/>
            </w:tcBorders>
            <w:shd w:val="clear" w:color="auto" w:fill="auto"/>
            <w:noWrap/>
            <w:vAlign w:val="bottom"/>
            <w:hideMark/>
          </w:tcPr>
          <w:p w14:paraId="47512D0F"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7.40</w:t>
            </w:r>
          </w:p>
        </w:tc>
        <w:tc>
          <w:tcPr>
            <w:tcW w:w="689" w:type="dxa"/>
            <w:tcBorders>
              <w:top w:val="nil"/>
              <w:left w:val="nil"/>
              <w:bottom w:val="single" w:sz="4" w:space="0" w:color="auto"/>
              <w:right w:val="single" w:sz="4" w:space="0" w:color="auto"/>
            </w:tcBorders>
            <w:shd w:val="clear" w:color="auto" w:fill="auto"/>
            <w:noWrap/>
            <w:vAlign w:val="bottom"/>
            <w:hideMark/>
          </w:tcPr>
          <w:p w14:paraId="103A74FD"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7.60</w:t>
            </w:r>
          </w:p>
        </w:tc>
        <w:tc>
          <w:tcPr>
            <w:tcW w:w="687" w:type="dxa"/>
            <w:tcBorders>
              <w:top w:val="nil"/>
              <w:left w:val="nil"/>
              <w:bottom w:val="single" w:sz="4" w:space="0" w:color="auto"/>
              <w:right w:val="single" w:sz="4" w:space="0" w:color="auto"/>
            </w:tcBorders>
            <w:shd w:val="clear" w:color="auto" w:fill="auto"/>
            <w:noWrap/>
            <w:vAlign w:val="bottom"/>
            <w:hideMark/>
          </w:tcPr>
          <w:p w14:paraId="2DA6CDE6"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7.70</w:t>
            </w:r>
          </w:p>
        </w:tc>
        <w:tc>
          <w:tcPr>
            <w:tcW w:w="687" w:type="dxa"/>
            <w:tcBorders>
              <w:top w:val="nil"/>
              <w:left w:val="nil"/>
              <w:bottom w:val="single" w:sz="4" w:space="0" w:color="auto"/>
              <w:right w:val="single" w:sz="4" w:space="0" w:color="auto"/>
            </w:tcBorders>
            <w:shd w:val="clear" w:color="auto" w:fill="auto"/>
            <w:noWrap/>
            <w:vAlign w:val="bottom"/>
            <w:hideMark/>
          </w:tcPr>
          <w:p w14:paraId="7335CF09"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7.80</w:t>
            </w:r>
          </w:p>
        </w:tc>
      </w:tr>
      <w:tr w:rsidR="009B176F" w:rsidRPr="000B7E06" w14:paraId="76138437" w14:textId="77777777" w:rsidTr="009B176F">
        <w:trPr>
          <w:trHeight w:val="255"/>
          <w:jc w:val="center"/>
        </w:trPr>
        <w:tc>
          <w:tcPr>
            <w:tcW w:w="9300" w:type="dxa"/>
            <w:gridSpan w:val="11"/>
            <w:tcBorders>
              <w:top w:val="single" w:sz="4" w:space="0" w:color="auto"/>
              <w:left w:val="single" w:sz="4" w:space="0" w:color="auto"/>
              <w:bottom w:val="single" w:sz="4" w:space="0" w:color="auto"/>
              <w:right w:val="single" w:sz="4" w:space="0" w:color="000000"/>
            </w:tcBorders>
            <w:shd w:val="clear" w:color="000000" w:fill="A6A6A6"/>
            <w:noWrap/>
            <w:vAlign w:val="bottom"/>
            <w:hideMark/>
          </w:tcPr>
          <w:p w14:paraId="30E5AC66" w14:textId="77777777" w:rsidR="009B176F" w:rsidRPr="000B7E06" w:rsidRDefault="009B176F" w:rsidP="000B7E06">
            <w:pPr>
              <w:spacing w:after="0" w:line="240" w:lineRule="auto"/>
              <w:rPr>
                <w:rFonts w:ascii="Myriad Pro" w:eastAsia="Times New Roman" w:hAnsi="Myriad Pro" w:cs="Times New Roman"/>
                <w:b/>
                <w:bCs/>
                <w:color w:val="000000"/>
                <w:sz w:val="16"/>
                <w:szCs w:val="16"/>
                <w:lang w:val="es-ES" w:eastAsia="es-ES"/>
              </w:rPr>
            </w:pPr>
            <w:r w:rsidRPr="000B7E06">
              <w:rPr>
                <w:rFonts w:ascii="Myriad Pro" w:eastAsia="Times New Roman" w:hAnsi="Myriad Pro" w:cs="Times New Roman"/>
                <w:b/>
                <w:bCs/>
                <w:color w:val="000000"/>
                <w:sz w:val="16"/>
                <w:szCs w:val="16"/>
                <w:lang w:val="es-ES" w:eastAsia="es-ES"/>
              </w:rPr>
              <w:t>Sector: Salud</w:t>
            </w:r>
          </w:p>
        </w:tc>
      </w:tr>
      <w:tr w:rsidR="009B176F" w:rsidRPr="000B7E06" w14:paraId="49081625" w14:textId="77777777" w:rsidTr="000B7E06">
        <w:trPr>
          <w:trHeight w:val="255"/>
          <w:jc w:val="center"/>
        </w:trPr>
        <w:tc>
          <w:tcPr>
            <w:tcW w:w="1987" w:type="dxa"/>
            <w:tcBorders>
              <w:top w:val="nil"/>
              <w:left w:val="single" w:sz="4" w:space="0" w:color="auto"/>
              <w:bottom w:val="single" w:sz="4" w:space="0" w:color="auto"/>
              <w:right w:val="single" w:sz="4" w:space="0" w:color="auto"/>
            </w:tcBorders>
            <w:shd w:val="clear" w:color="000000" w:fill="BFBFBF"/>
            <w:vAlign w:val="bottom"/>
            <w:hideMark/>
          </w:tcPr>
          <w:p w14:paraId="65C436E7"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IDH - Índice de Salud</w:t>
            </w:r>
          </w:p>
        </w:tc>
        <w:tc>
          <w:tcPr>
            <w:tcW w:w="853" w:type="dxa"/>
            <w:tcBorders>
              <w:top w:val="nil"/>
              <w:left w:val="nil"/>
              <w:bottom w:val="single" w:sz="4" w:space="0" w:color="auto"/>
              <w:right w:val="single" w:sz="4" w:space="0" w:color="auto"/>
            </w:tcBorders>
            <w:shd w:val="clear" w:color="000000" w:fill="BFBFBF"/>
            <w:noWrap/>
            <w:vAlign w:val="bottom"/>
            <w:hideMark/>
          </w:tcPr>
          <w:p w14:paraId="337B1EC0"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PNUD</w:t>
            </w:r>
          </w:p>
        </w:tc>
        <w:tc>
          <w:tcPr>
            <w:tcW w:w="403" w:type="dxa"/>
            <w:tcBorders>
              <w:top w:val="nil"/>
              <w:left w:val="nil"/>
              <w:bottom w:val="single" w:sz="4" w:space="0" w:color="auto"/>
              <w:right w:val="single" w:sz="4" w:space="0" w:color="auto"/>
            </w:tcBorders>
            <w:shd w:val="clear" w:color="000000" w:fill="BFBFBF"/>
            <w:noWrap/>
            <w:vAlign w:val="bottom"/>
            <w:hideMark/>
          </w:tcPr>
          <w:p w14:paraId="155775A2"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23</w:t>
            </w:r>
          </w:p>
        </w:tc>
        <w:tc>
          <w:tcPr>
            <w:tcW w:w="774" w:type="dxa"/>
            <w:tcBorders>
              <w:top w:val="nil"/>
              <w:left w:val="nil"/>
              <w:bottom w:val="single" w:sz="4" w:space="0" w:color="auto"/>
              <w:right w:val="single" w:sz="4" w:space="0" w:color="auto"/>
            </w:tcBorders>
            <w:shd w:val="clear" w:color="000000" w:fill="BFBFBF"/>
            <w:noWrap/>
            <w:vAlign w:val="bottom"/>
            <w:hideMark/>
          </w:tcPr>
          <w:p w14:paraId="57487F13"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.835</w:t>
            </w:r>
          </w:p>
        </w:tc>
        <w:tc>
          <w:tcPr>
            <w:tcW w:w="1217" w:type="dxa"/>
            <w:tcBorders>
              <w:top w:val="nil"/>
              <w:left w:val="nil"/>
              <w:bottom w:val="single" w:sz="4" w:space="0" w:color="auto"/>
              <w:right w:val="single" w:sz="4" w:space="0" w:color="auto"/>
            </w:tcBorders>
            <w:shd w:val="clear" w:color="000000" w:fill="BFBFBF"/>
            <w:noWrap/>
            <w:vAlign w:val="bottom"/>
            <w:hideMark/>
          </w:tcPr>
          <w:p w14:paraId="133FD0B9"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Índice</w:t>
            </w:r>
          </w:p>
        </w:tc>
        <w:tc>
          <w:tcPr>
            <w:tcW w:w="647" w:type="dxa"/>
            <w:tcBorders>
              <w:top w:val="nil"/>
              <w:left w:val="nil"/>
              <w:bottom w:val="single" w:sz="4" w:space="0" w:color="auto"/>
              <w:right w:val="single" w:sz="4" w:space="0" w:color="auto"/>
            </w:tcBorders>
            <w:shd w:val="clear" w:color="000000" w:fill="BFBFBF"/>
            <w:noWrap/>
            <w:vAlign w:val="bottom"/>
            <w:hideMark/>
          </w:tcPr>
          <w:p w14:paraId="1237145D"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.826</w:t>
            </w:r>
          </w:p>
        </w:tc>
        <w:tc>
          <w:tcPr>
            <w:tcW w:w="669" w:type="dxa"/>
            <w:tcBorders>
              <w:top w:val="nil"/>
              <w:left w:val="nil"/>
              <w:bottom w:val="single" w:sz="4" w:space="0" w:color="auto"/>
              <w:right w:val="single" w:sz="4" w:space="0" w:color="auto"/>
            </w:tcBorders>
            <w:shd w:val="clear" w:color="000000" w:fill="BFBFBF"/>
            <w:noWrap/>
            <w:vAlign w:val="bottom"/>
            <w:hideMark/>
          </w:tcPr>
          <w:p w14:paraId="6614EE61"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.828</w:t>
            </w:r>
          </w:p>
        </w:tc>
        <w:tc>
          <w:tcPr>
            <w:tcW w:w="687" w:type="dxa"/>
            <w:tcBorders>
              <w:top w:val="nil"/>
              <w:left w:val="nil"/>
              <w:bottom w:val="single" w:sz="4" w:space="0" w:color="auto"/>
              <w:right w:val="single" w:sz="4" w:space="0" w:color="auto"/>
            </w:tcBorders>
            <w:shd w:val="clear" w:color="000000" w:fill="BFBFBF"/>
            <w:noWrap/>
            <w:vAlign w:val="bottom"/>
            <w:hideMark/>
          </w:tcPr>
          <w:p w14:paraId="4C09DABA"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9" w:type="dxa"/>
            <w:tcBorders>
              <w:top w:val="nil"/>
              <w:left w:val="nil"/>
              <w:bottom w:val="single" w:sz="4" w:space="0" w:color="auto"/>
              <w:right w:val="single" w:sz="4" w:space="0" w:color="auto"/>
            </w:tcBorders>
            <w:shd w:val="clear" w:color="000000" w:fill="BFBFBF"/>
            <w:noWrap/>
            <w:vAlign w:val="bottom"/>
            <w:hideMark/>
          </w:tcPr>
          <w:p w14:paraId="3118E318"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.832</w:t>
            </w:r>
          </w:p>
        </w:tc>
        <w:tc>
          <w:tcPr>
            <w:tcW w:w="687" w:type="dxa"/>
            <w:tcBorders>
              <w:top w:val="nil"/>
              <w:left w:val="nil"/>
              <w:bottom w:val="single" w:sz="4" w:space="0" w:color="auto"/>
              <w:right w:val="single" w:sz="4" w:space="0" w:color="auto"/>
            </w:tcBorders>
            <w:shd w:val="clear" w:color="000000" w:fill="BFBFBF"/>
            <w:noWrap/>
            <w:vAlign w:val="bottom"/>
            <w:hideMark/>
          </w:tcPr>
          <w:p w14:paraId="22CCDB2C"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7" w:type="dxa"/>
            <w:tcBorders>
              <w:top w:val="nil"/>
              <w:left w:val="nil"/>
              <w:bottom w:val="single" w:sz="4" w:space="0" w:color="auto"/>
              <w:right w:val="single" w:sz="4" w:space="0" w:color="auto"/>
            </w:tcBorders>
            <w:shd w:val="clear" w:color="000000" w:fill="BFBFBF"/>
            <w:noWrap/>
            <w:vAlign w:val="bottom"/>
            <w:hideMark/>
          </w:tcPr>
          <w:p w14:paraId="2800FD74"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r>
      <w:tr w:rsidR="009B176F" w:rsidRPr="000B7E06" w14:paraId="10AC5BE8" w14:textId="77777777" w:rsidTr="000B7E06">
        <w:trPr>
          <w:trHeight w:val="255"/>
          <w:jc w:val="center"/>
        </w:trPr>
        <w:tc>
          <w:tcPr>
            <w:tcW w:w="1987" w:type="dxa"/>
            <w:tcBorders>
              <w:top w:val="nil"/>
              <w:left w:val="single" w:sz="4" w:space="0" w:color="auto"/>
              <w:bottom w:val="nil"/>
              <w:right w:val="single" w:sz="4" w:space="0" w:color="auto"/>
            </w:tcBorders>
            <w:shd w:val="clear" w:color="auto" w:fill="auto"/>
            <w:vAlign w:val="bottom"/>
            <w:hideMark/>
          </w:tcPr>
          <w:p w14:paraId="56465C76"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 Esperanza de vida al nacer</w:t>
            </w:r>
          </w:p>
        </w:tc>
        <w:tc>
          <w:tcPr>
            <w:tcW w:w="853" w:type="dxa"/>
            <w:tcBorders>
              <w:top w:val="nil"/>
              <w:left w:val="nil"/>
              <w:bottom w:val="nil"/>
              <w:right w:val="single" w:sz="4" w:space="0" w:color="auto"/>
            </w:tcBorders>
            <w:shd w:val="clear" w:color="auto" w:fill="auto"/>
            <w:noWrap/>
            <w:vAlign w:val="bottom"/>
            <w:hideMark/>
          </w:tcPr>
          <w:p w14:paraId="6455FE98"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PNUD</w:t>
            </w:r>
          </w:p>
        </w:tc>
        <w:tc>
          <w:tcPr>
            <w:tcW w:w="403" w:type="dxa"/>
            <w:tcBorders>
              <w:top w:val="nil"/>
              <w:left w:val="nil"/>
              <w:bottom w:val="nil"/>
              <w:right w:val="single" w:sz="4" w:space="0" w:color="auto"/>
            </w:tcBorders>
            <w:shd w:val="clear" w:color="auto" w:fill="auto"/>
            <w:noWrap/>
            <w:vAlign w:val="bottom"/>
            <w:hideMark/>
          </w:tcPr>
          <w:p w14:paraId="5215045B"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23</w:t>
            </w:r>
          </w:p>
        </w:tc>
        <w:tc>
          <w:tcPr>
            <w:tcW w:w="774" w:type="dxa"/>
            <w:tcBorders>
              <w:top w:val="nil"/>
              <w:left w:val="nil"/>
              <w:bottom w:val="nil"/>
              <w:right w:val="single" w:sz="4" w:space="0" w:color="auto"/>
            </w:tcBorders>
            <w:shd w:val="clear" w:color="auto" w:fill="auto"/>
            <w:noWrap/>
            <w:vAlign w:val="bottom"/>
            <w:hideMark/>
          </w:tcPr>
          <w:p w14:paraId="0B54E98F"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74.3</w:t>
            </w:r>
          </w:p>
        </w:tc>
        <w:tc>
          <w:tcPr>
            <w:tcW w:w="1217" w:type="dxa"/>
            <w:tcBorders>
              <w:top w:val="nil"/>
              <w:left w:val="nil"/>
              <w:bottom w:val="nil"/>
              <w:right w:val="single" w:sz="4" w:space="0" w:color="auto"/>
            </w:tcBorders>
            <w:shd w:val="clear" w:color="auto" w:fill="auto"/>
            <w:noWrap/>
            <w:vAlign w:val="bottom"/>
            <w:hideMark/>
          </w:tcPr>
          <w:p w14:paraId="5390C5E6"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Años</w:t>
            </w:r>
          </w:p>
        </w:tc>
        <w:tc>
          <w:tcPr>
            <w:tcW w:w="647" w:type="dxa"/>
            <w:tcBorders>
              <w:top w:val="nil"/>
              <w:left w:val="nil"/>
              <w:bottom w:val="nil"/>
              <w:right w:val="single" w:sz="4" w:space="0" w:color="auto"/>
            </w:tcBorders>
            <w:shd w:val="clear" w:color="auto" w:fill="auto"/>
            <w:noWrap/>
            <w:vAlign w:val="bottom"/>
            <w:hideMark/>
          </w:tcPr>
          <w:p w14:paraId="7404F62C"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73.7</w:t>
            </w:r>
          </w:p>
        </w:tc>
        <w:tc>
          <w:tcPr>
            <w:tcW w:w="669" w:type="dxa"/>
            <w:tcBorders>
              <w:top w:val="nil"/>
              <w:left w:val="nil"/>
              <w:bottom w:val="nil"/>
              <w:right w:val="single" w:sz="4" w:space="0" w:color="auto"/>
            </w:tcBorders>
            <w:shd w:val="clear" w:color="auto" w:fill="auto"/>
            <w:noWrap/>
            <w:vAlign w:val="bottom"/>
            <w:hideMark/>
          </w:tcPr>
          <w:p w14:paraId="7D64EC38"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73.80</w:t>
            </w:r>
          </w:p>
        </w:tc>
        <w:tc>
          <w:tcPr>
            <w:tcW w:w="687" w:type="dxa"/>
            <w:tcBorders>
              <w:top w:val="nil"/>
              <w:left w:val="nil"/>
              <w:bottom w:val="nil"/>
              <w:right w:val="single" w:sz="4" w:space="0" w:color="auto"/>
            </w:tcBorders>
            <w:shd w:val="clear" w:color="auto" w:fill="auto"/>
            <w:noWrap/>
            <w:vAlign w:val="bottom"/>
            <w:hideMark/>
          </w:tcPr>
          <w:p w14:paraId="23C71276"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9" w:type="dxa"/>
            <w:tcBorders>
              <w:top w:val="nil"/>
              <w:left w:val="nil"/>
              <w:bottom w:val="nil"/>
              <w:right w:val="single" w:sz="4" w:space="0" w:color="auto"/>
            </w:tcBorders>
            <w:shd w:val="clear" w:color="auto" w:fill="auto"/>
            <w:noWrap/>
            <w:vAlign w:val="bottom"/>
            <w:hideMark/>
          </w:tcPr>
          <w:p w14:paraId="271C04EC"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74.10</w:t>
            </w:r>
          </w:p>
        </w:tc>
        <w:tc>
          <w:tcPr>
            <w:tcW w:w="687" w:type="dxa"/>
            <w:tcBorders>
              <w:top w:val="nil"/>
              <w:left w:val="nil"/>
              <w:bottom w:val="nil"/>
              <w:right w:val="single" w:sz="4" w:space="0" w:color="auto"/>
            </w:tcBorders>
            <w:shd w:val="clear" w:color="auto" w:fill="auto"/>
            <w:noWrap/>
            <w:vAlign w:val="bottom"/>
            <w:hideMark/>
          </w:tcPr>
          <w:p w14:paraId="78F59338"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7" w:type="dxa"/>
            <w:tcBorders>
              <w:top w:val="nil"/>
              <w:left w:val="nil"/>
              <w:bottom w:val="nil"/>
              <w:right w:val="single" w:sz="4" w:space="0" w:color="auto"/>
            </w:tcBorders>
            <w:shd w:val="clear" w:color="auto" w:fill="auto"/>
            <w:noWrap/>
            <w:vAlign w:val="bottom"/>
            <w:hideMark/>
          </w:tcPr>
          <w:p w14:paraId="001DC21C"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r>
      <w:tr w:rsidR="009B176F" w:rsidRPr="000B7E06" w14:paraId="3D92044A" w14:textId="77777777" w:rsidTr="000B7E06">
        <w:trPr>
          <w:trHeight w:val="510"/>
          <w:jc w:val="center"/>
        </w:trPr>
        <w:tc>
          <w:tcPr>
            <w:tcW w:w="1987" w:type="dxa"/>
            <w:tcBorders>
              <w:top w:val="nil"/>
              <w:left w:val="single" w:sz="4" w:space="0" w:color="auto"/>
              <w:bottom w:val="nil"/>
              <w:right w:val="single" w:sz="4" w:space="0" w:color="auto"/>
            </w:tcBorders>
            <w:shd w:val="clear" w:color="auto" w:fill="auto"/>
            <w:vAlign w:val="bottom"/>
            <w:hideMark/>
          </w:tcPr>
          <w:p w14:paraId="3F4E7B72"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Porcentaje de población con seguridad social</w:t>
            </w:r>
          </w:p>
        </w:tc>
        <w:tc>
          <w:tcPr>
            <w:tcW w:w="853" w:type="dxa"/>
            <w:tcBorders>
              <w:top w:val="nil"/>
              <w:left w:val="nil"/>
              <w:bottom w:val="nil"/>
              <w:right w:val="single" w:sz="4" w:space="0" w:color="auto"/>
            </w:tcBorders>
            <w:shd w:val="clear" w:color="auto" w:fill="auto"/>
            <w:noWrap/>
            <w:vAlign w:val="bottom"/>
            <w:hideMark/>
          </w:tcPr>
          <w:p w14:paraId="40E2940B"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INEGI</w:t>
            </w:r>
          </w:p>
        </w:tc>
        <w:tc>
          <w:tcPr>
            <w:tcW w:w="403" w:type="dxa"/>
            <w:tcBorders>
              <w:top w:val="nil"/>
              <w:left w:val="nil"/>
              <w:bottom w:val="nil"/>
              <w:right w:val="single" w:sz="4" w:space="0" w:color="auto"/>
            </w:tcBorders>
            <w:shd w:val="clear" w:color="auto" w:fill="auto"/>
            <w:noWrap/>
            <w:vAlign w:val="bottom"/>
            <w:hideMark/>
          </w:tcPr>
          <w:p w14:paraId="4F564EED"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31</w:t>
            </w:r>
          </w:p>
        </w:tc>
        <w:tc>
          <w:tcPr>
            <w:tcW w:w="774" w:type="dxa"/>
            <w:tcBorders>
              <w:top w:val="nil"/>
              <w:left w:val="nil"/>
              <w:bottom w:val="nil"/>
              <w:right w:val="single" w:sz="4" w:space="0" w:color="auto"/>
            </w:tcBorders>
            <w:shd w:val="clear" w:color="auto" w:fill="auto"/>
            <w:noWrap/>
            <w:vAlign w:val="bottom"/>
            <w:hideMark/>
          </w:tcPr>
          <w:p w14:paraId="3D1EA746"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83.70</w:t>
            </w:r>
          </w:p>
        </w:tc>
        <w:tc>
          <w:tcPr>
            <w:tcW w:w="1217" w:type="dxa"/>
            <w:tcBorders>
              <w:top w:val="nil"/>
              <w:left w:val="nil"/>
              <w:bottom w:val="nil"/>
              <w:right w:val="single" w:sz="4" w:space="0" w:color="auto"/>
            </w:tcBorders>
            <w:shd w:val="clear" w:color="auto" w:fill="auto"/>
            <w:noWrap/>
            <w:vAlign w:val="bottom"/>
            <w:hideMark/>
          </w:tcPr>
          <w:p w14:paraId="5C0405B7"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Porcentaje</w:t>
            </w:r>
          </w:p>
        </w:tc>
        <w:tc>
          <w:tcPr>
            <w:tcW w:w="647" w:type="dxa"/>
            <w:tcBorders>
              <w:top w:val="nil"/>
              <w:left w:val="nil"/>
              <w:bottom w:val="nil"/>
              <w:right w:val="single" w:sz="4" w:space="0" w:color="auto"/>
            </w:tcBorders>
            <w:shd w:val="clear" w:color="auto" w:fill="auto"/>
            <w:noWrap/>
            <w:vAlign w:val="bottom"/>
            <w:hideMark/>
          </w:tcPr>
          <w:p w14:paraId="215C1CCB"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69" w:type="dxa"/>
            <w:tcBorders>
              <w:top w:val="nil"/>
              <w:left w:val="nil"/>
              <w:bottom w:val="nil"/>
              <w:right w:val="single" w:sz="4" w:space="0" w:color="auto"/>
            </w:tcBorders>
            <w:shd w:val="clear" w:color="auto" w:fill="auto"/>
            <w:noWrap/>
            <w:vAlign w:val="bottom"/>
            <w:hideMark/>
          </w:tcPr>
          <w:p w14:paraId="65C94D05"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7" w:type="dxa"/>
            <w:tcBorders>
              <w:top w:val="nil"/>
              <w:left w:val="nil"/>
              <w:bottom w:val="nil"/>
              <w:right w:val="single" w:sz="4" w:space="0" w:color="auto"/>
            </w:tcBorders>
            <w:shd w:val="clear" w:color="auto" w:fill="auto"/>
            <w:noWrap/>
            <w:vAlign w:val="bottom"/>
            <w:hideMark/>
          </w:tcPr>
          <w:p w14:paraId="769C9846"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9" w:type="dxa"/>
            <w:tcBorders>
              <w:top w:val="nil"/>
              <w:left w:val="nil"/>
              <w:bottom w:val="nil"/>
              <w:right w:val="single" w:sz="4" w:space="0" w:color="auto"/>
            </w:tcBorders>
            <w:shd w:val="clear" w:color="auto" w:fill="auto"/>
            <w:noWrap/>
            <w:vAlign w:val="bottom"/>
            <w:hideMark/>
          </w:tcPr>
          <w:p w14:paraId="708A9F0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7" w:type="dxa"/>
            <w:tcBorders>
              <w:top w:val="nil"/>
              <w:left w:val="nil"/>
              <w:bottom w:val="nil"/>
              <w:right w:val="single" w:sz="4" w:space="0" w:color="auto"/>
            </w:tcBorders>
            <w:shd w:val="clear" w:color="auto" w:fill="auto"/>
            <w:noWrap/>
            <w:vAlign w:val="bottom"/>
            <w:hideMark/>
          </w:tcPr>
          <w:p w14:paraId="1102C0A8"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68.90</w:t>
            </w:r>
          </w:p>
        </w:tc>
        <w:tc>
          <w:tcPr>
            <w:tcW w:w="687" w:type="dxa"/>
            <w:tcBorders>
              <w:top w:val="nil"/>
              <w:left w:val="nil"/>
              <w:bottom w:val="nil"/>
              <w:right w:val="single" w:sz="4" w:space="0" w:color="auto"/>
            </w:tcBorders>
            <w:shd w:val="clear" w:color="auto" w:fill="auto"/>
            <w:noWrap/>
            <w:vAlign w:val="bottom"/>
            <w:hideMark/>
          </w:tcPr>
          <w:p w14:paraId="31A5B809"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r>
      <w:tr w:rsidR="009B176F" w:rsidRPr="000B7E06" w14:paraId="34E5E503" w14:textId="77777777" w:rsidTr="000B7E06">
        <w:trPr>
          <w:trHeight w:val="765"/>
          <w:jc w:val="center"/>
        </w:trPr>
        <w:tc>
          <w:tcPr>
            <w:tcW w:w="1987" w:type="dxa"/>
            <w:tcBorders>
              <w:top w:val="nil"/>
              <w:left w:val="single" w:sz="4" w:space="0" w:color="auto"/>
              <w:bottom w:val="nil"/>
              <w:right w:val="single" w:sz="4" w:space="0" w:color="auto"/>
            </w:tcBorders>
            <w:shd w:val="clear" w:color="auto" w:fill="auto"/>
            <w:vAlign w:val="bottom"/>
            <w:hideMark/>
          </w:tcPr>
          <w:p w14:paraId="25BB6E9D"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Razón de mortalidad materna (defunciones por cada 100 mil nacidos vivos estimados)</w:t>
            </w:r>
          </w:p>
        </w:tc>
        <w:tc>
          <w:tcPr>
            <w:tcW w:w="853" w:type="dxa"/>
            <w:tcBorders>
              <w:top w:val="nil"/>
              <w:left w:val="nil"/>
              <w:bottom w:val="nil"/>
              <w:right w:val="single" w:sz="4" w:space="0" w:color="auto"/>
            </w:tcBorders>
            <w:shd w:val="clear" w:color="auto" w:fill="auto"/>
            <w:noWrap/>
            <w:vAlign w:val="bottom"/>
            <w:hideMark/>
          </w:tcPr>
          <w:p w14:paraId="228F4DCF"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INEGI</w:t>
            </w:r>
          </w:p>
        </w:tc>
        <w:tc>
          <w:tcPr>
            <w:tcW w:w="403" w:type="dxa"/>
            <w:tcBorders>
              <w:top w:val="nil"/>
              <w:left w:val="nil"/>
              <w:bottom w:val="nil"/>
              <w:right w:val="single" w:sz="4" w:space="0" w:color="auto"/>
            </w:tcBorders>
            <w:shd w:val="clear" w:color="auto" w:fill="auto"/>
            <w:noWrap/>
            <w:vAlign w:val="bottom"/>
            <w:hideMark/>
          </w:tcPr>
          <w:p w14:paraId="6EA8D0B1"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7</w:t>
            </w:r>
          </w:p>
        </w:tc>
        <w:tc>
          <w:tcPr>
            <w:tcW w:w="774" w:type="dxa"/>
            <w:tcBorders>
              <w:top w:val="nil"/>
              <w:left w:val="nil"/>
              <w:bottom w:val="nil"/>
              <w:right w:val="single" w:sz="4" w:space="0" w:color="auto"/>
            </w:tcBorders>
            <w:shd w:val="clear" w:color="auto" w:fill="auto"/>
            <w:noWrap/>
            <w:vAlign w:val="bottom"/>
            <w:hideMark/>
          </w:tcPr>
          <w:p w14:paraId="5D5B15FA"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40.45</w:t>
            </w:r>
          </w:p>
        </w:tc>
        <w:tc>
          <w:tcPr>
            <w:tcW w:w="1217" w:type="dxa"/>
            <w:tcBorders>
              <w:top w:val="nil"/>
              <w:left w:val="nil"/>
              <w:bottom w:val="nil"/>
              <w:right w:val="single" w:sz="4" w:space="0" w:color="auto"/>
            </w:tcBorders>
            <w:shd w:val="clear" w:color="auto" w:fill="auto"/>
            <w:noWrap/>
            <w:vAlign w:val="bottom"/>
            <w:hideMark/>
          </w:tcPr>
          <w:p w14:paraId="0A670572"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Tasa</w:t>
            </w:r>
          </w:p>
        </w:tc>
        <w:tc>
          <w:tcPr>
            <w:tcW w:w="647" w:type="dxa"/>
            <w:tcBorders>
              <w:top w:val="nil"/>
              <w:left w:val="nil"/>
              <w:bottom w:val="nil"/>
              <w:right w:val="single" w:sz="4" w:space="0" w:color="auto"/>
            </w:tcBorders>
            <w:shd w:val="clear" w:color="auto" w:fill="auto"/>
            <w:noWrap/>
            <w:vAlign w:val="bottom"/>
            <w:hideMark/>
          </w:tcPr>
          <w:p w14:paraId="2D488FED"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69" w:type="dxa"/>
            <w:tcBorders>
              <w:top w:val="nil"/>
              <w:left w:val="nil"/>
              <w:bottom w:val="nil"/>
              <w:right w:val="single" w:sz="4" w:space="0" w:color="auto"/>
            </w:tcBorders>
            <w:shd w:val="clear" w:color="auto" w:fill="auto"/>
            <w:noWrap/>
            <w:vAlign w:val="bottom"/>
            <w:hideMark/>
          </w:tcPr>
          <w:p w14:paraId="53C642B3"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53.90</w:t>
            </w:r>
          </w:p>
        </w:tc>
        <w:tc>
          <w:tcPr>
            <w:tcW w:w="687" w:type="dxa"/>
            <w:tcBorders>
              <w:top w:val="nil"/>
              <w:left w:val="nil"/>
              <w:bottom w:val="nil"/>
              <w:right w:val="single" w:sz="4" w:space="0" w:color="auto"/>
            </w:tcBorders>
            <w:shd w:val="clear" w:color="auto" w:fill="auto"/>
            <w:noWrap/>
            <w:vAlign w:val="bottom"/>
            <w:hideMark/>
          </w:tcPr>
          <w:p w14:paraId="77F9B16E"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57.90</w:t>
            </w:r>
          </w:p>
        </w:tc>
        <w:tc>
          <w:tcPr>
            <w:tcW w:w="689" w:type="dxa"/>
            <w:tcBorders>
              <w:top w:val="nil"/>
              <w:left w:val="nil"/>
              <w:bottom w:val="nil"/>
              <w:right w:val="single" w:sz="4" w:space="0" w:color="auto"/>
            </w:tcBorders>
            <w:shd w:val="clear" w:color="auto" w:fill="auto"/>
            <w:noWrap/>
            <w:vAlign w:val="bottom"/>
            <w:hideMark/>
          </w:tcPr>
          <w:p w14:paraId="4118B216"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41.70</w:t>
            </w:r>
          </w:p>
        </w:tc>
        <w:tc>
          <w:tcPr>
            <w:tcW w:w="687" w:type="dxa"/>
            <w:tcBorders>
              <w:top w:val="nil"/>
              <w:left w:val="nil"/>
              <w:bottom w:val="nil"/>
              <w:right w:val="single" w:sz="4" w:space="0" w:color="auto"/>
            </w:tcBorders>
            <w:shd w:val="clear" w:color="auto" w:fill="auto"/>
            <w:noWrap/>
            <w:vAlign w:val="bottom"/>
            <w:hideMark/>
          </w:tcPr>
          <w:p w14:paraId="6B74C9D6"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36.70</w:t>
            </w:r>
          </w:p>
        </w:tc>
        <w:tc>
          <w:tcPr>
            <w:tcW w:w="687" w:type="dxa"/>
            <w:tcBorders>
              <w:top w:val="nil"/>
              <w:left w:val="nil"/>
              <w:bottom w:val="nil"/>
              <w:right w:val="single" w:sz="4" w:space="0" w:color="auto"/>
            </w:tcBorders>
            <w:shd w:val="clear" w:color="auto" w:fill="auto"/>
            <w:noWrap/>
            <w:vAlign w:val="bottom"/>
            <w:hideMark/>
          </w:tcPr>
          <w:p w14:paraId="7A6FFA65"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47.70</w:t>
            </w:r>
          </w:p>
        </w:tc>
      </w:tr>
      <w:tr w:rsidR="009B176F" w:rsidRPr="000B7E06" w14:paraId="6D30E456" w14:textId="77777777" w:rsidTr="000B7E06">
        <w:trPr>
          <w:trHeight w:val="510"/>
          <w:jc w:val="center"/>
        </w:trPr>
        <w:tc>
          <w:tcPr>
            <w:tcW w:w="1987" w:type="dxa"/>
            <w:tcBorders>
              <w:top w:val="nil"/>
              <w:left w:val="single" w:sz="4" w:space="0" w:color="auto"/>
              <w:bottom w:val="nil"/>
              <w:right w:val="single" w:sz="4" w:space="0" w:color="auto"/>
            </w:tcBorders>
            <w:shd w:val="clear" w:color="auto" w:fill="auto"/>
            <w:vAlign w:val="bottom"/>
            <w:hideMark/>
          </w:tcPr>
          <w:p w14:paraId="728F625A"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Tasa de fecundidad en mujeres de 15 a 19 años</w:t>
            </w:r>
          </w:p>
        </w:tc>
        <w:tc>
          <w:tcPr>
            <w:tcW w:w="853" w:type="dxa"/>
            <w:tcBorders>
              <w:top w:val="nil"/>
              <w:left w:val="nil"/>
              <w:bottom w:val="nil"/>
              <w:right w:val="single" w:sz="4" w:space="0" w:color="auto"/>
            </w:tcBorders>
            <w:shd w:val="clear" w:color="auto" w:fill="auto"/>
            <w:noWrap/>
            <w:vAlign w:val="bottom"/>
            <w:hideMark/>
          </w:tcPr>
          <w:p w14:paraId="01BD14BB"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INEGI</w:t>
            </w:r>
          </w:p>
        </w:tc>
        <w:tc>
          <w:tcPr>
            <w:tcW w:w="403" w:type="dxa"/>
            <w:tcBorders>
              <w:top w:val="nil"/>
              <w:left w:val="nil"/>
              <w:bottom w:val="nil"/>
              <w:right w:val="single" w:sz="4" w:space="0" w:color="auto"/>
            </w:tcBorders>
            <w:shd w:val="clear" w:color="auto" w:fill="auto"/>
            <w:noWrap/>
            <w:vAlign w:val="bottom"/>
            <w:hideMark/>
          </w:tcPr>
          <w:p w14:paraId="4DD0EB2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27</w:t>
            </w:r>
          </w:p>
        </w:tc>
        <w:tc>
          <w:tcPr>
            <w:tcW w:w="774" w:type="dxa"/>
            <w:tcBorders>
              <w:top w:val="nil"/>
              <w:left w:val="nil"/>
              <w:bottom w:val="nil"/>
              <w:right w:val="single" w:sz="4" w:space="0" w:color="auto"/>
            </w:tcBorders>
            <w:shd w:val="clear" w:color="auto" w:fill="auto"/>
            <w:noWrap/>
            <w:vAlign w:val="bottom"/>
            <w:hideMark/>
          </w:tcPr>
          <w:p w14:paraId="62D9165F"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68.30</w:t>
            </w:r>
          </w:p>
        </w:tc>
        <w:tc>
          <w:tcPr>
            <w:tcW w:w="1217" w:type="dxa"/>
            <w:tcBorders>
              <w:top w:val="nil"/>
              <w:left w:val="nil"/>
              <w:bottom w:val="nil"/>
              <w:right w:val="single" w:sz="4" w:space="0" w:color="auto"/>
            </w:tcBorders>
            <w:shd w:val="clear" w:color="auto" w:fill="auto"/>
            <w:noWrap/>
            <w:vAlign w:val="bottom"/>
            <w:hideMark/>
          </w:tcPr>
          <w:p w14:paraId="3D3C32FF"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Tasa</w:t>
            </w:r>
          </w:p>
        </w:tc>
        <w:tc>
          <w:tcPr>
            <w:tcW w:w="647" w:type="dxa"/>
            <w:tcBorders>
              <w:top w:val="nil"/>
              <w:left w:val="nil"/>
              <w:bottom w:val="nil"/>
              <w:right w:val="single" w:sz="4" w:space="0" w:color="auto"/>
            </w:tcBorders>
            <w:shd w:val="clear" w:color="auto" w:fill="auto"/>
            <w:noWrap/>
            <w:vAlign w:val="bottom"/>
            <w:hideMark/>
          </w:tcPr>
          <w:p w14:paraId="497D3D79"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69" w:type="dxa"/>
            <w:tcBorders>
              <w:top w:val="nil"/>
              <w:left w:val="nil"/>
              <w:bottom w:val="nil"/>
              <w:right w:val="single" w:sz="4" w:space="0" w:color="auto"/>
            </w:tcBorders>
            <w:shd w:val="clear" w:color="auto" w:fill="auto"/>
            <w:noWrap/>
            <w:vAlign w:val="bottom"/>
            <w:hideMark/>
          </w:tcPr>
          <w:p w14:paraId="64AC26D1"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61.20</w:t>
            </w:r>
          </w:p>
        </w:tc>
        <w:tc>
          <w:tcPr>
            <w:tcW w:w="687" w:type="dxa"/>
            <w:tcBorders>
              <w:top w:val="nil"/>
              <w:left w:val="nil"/>
              <w:bottom w:val="nil"/>
              <w:right w:val="single" w:sz="4" w:space="0" w:color="auto"/>
            </w:tcBorders>
            <w:shd w:val="clear" w:color="auto" w:fill="auto"/>
            <w:noWrap/>
            <w:vAlign w:val="bottom"/>
            <w:hideMark/>
          </w:tcPr>
          <w:p w14:paraId="3B5A144A"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60.80</w:t>
            </w:r>
          </w:p>
        </w:tc>
        <w:tc>
          <w:tcPr>
            <w:tcW w:w="689" w:type="dxa"/>
            <w:tcBorders>
              <w:top w:val="nil"/>
              <w:left w:val="nil"/>
              <w:bottom w:val="nil"/>
              <w:right w:val="single" w:sz="4" w:space="0" w:color="auto"/>
            </w:tcBorders>
            <w:shd w:val="clear" w:color="auto" w:fill="auto"/>
            <w:noWrap/>
            <w:vAlign w:val="bottom"/>
            <w:hideMark/>
          </w:tcPr>
          <w:p w14:paraId="09C93819"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60.5</w:t>
            </w:r>
          </w:p>
        </w:tc>
        <w:tc>
          <w:tcPr>
            <w:tcW w:w="687" w:type="dxa"/>
            <w:tcBorders>
              <w:top w:val="nil"/>
              <w:left w:val="nil"/>
              <w:bottom w:val="nil"/>
              <w:right w:val="single" w:sz="4" w:space="0" w:color="auto"/>
            </w:tcBorders>
            <w:shd w:val="clear" w:color="auto" w:fill="auto"/>
            <w:noWrap/>
            <w:vAlign w:val="bottom"/>
            <w:hideMark/>
          </w:tcPr>
          <w:p w14:paraId="0779C910"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60.20</w:t>
            </w:r>
          </w:p>
        </w:tc>
        <w:tc>
          <w:tcPr>
            <w:tcW w:w="687" w:type="dxa"/>
            <w:tcBorders>
              <w:top w:val="nil"/>
              <w:left w:val="nil"/>
              <w:bottom w:val="nil"/>
              <w:right w:val="single" w:sz="4" w:space="0" w:color="auto"/>
            </w:tcBorders>
            <w:shd w:val="clear" w:color="auto" w:fill="auto"/>
            <w:noWrap/>
            <w:vAlign w:val="bottom"/>
            <w:hideMark/>
          </w:tcPr>
          <w:p w14:paraId="66232435" w14:textId="77777777" w:rsidR="009B176F" w:rsidRPr="000B7E06" w:rsidRDefault="009B176F" w:rsidP="000B7E06">
            <w:pPr>
              <w:spacing w:after="0" w:line="240" w:lineRule="auto"/>
              <w:jc w:val="right"/>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60.0</w:t>
            </w:r>
          </w:p>
        </w:tc>
      </w:tr>
      <w:tr w:rsidR="009B176F" w:rsidRPr="000B7E06" w14:paraId="334FECED" w14:textId="77777777" w:rsidTr="000B7E06">
        <w:trPr>
          <w:trHeight w:val="510"/>
          <w:jc w:val="center"/>
        </w:trPr>
        <w:tc>
          <w:tcPr>
            <w:tcW w:w="1987" w:type="dxa"/>
            <w:tcBorders>
              <w:top w:val="nil"/>
              <w:left w:val="single" w:sz="4" w:space="0" w:color="auto"/>
              <w:bottom w:val="single" w:sz="4" w:space="0" w:color="auto"/>
              <w:right w:val="single" w:sz="4" w:space="0" w:color="auto"/>
            </w:tcBorders>
            <w:shd w:val="clear" w:color="auto" w:fill="auto"/>
            <w:vAlign w:val="bottom"/>
            <w:hideMark/>
          </w:tcPr>
          <w:p w14:paraId="07B4A457" w14:textId="77777777" w:rsidR="009B176F" w:rsidRPr="000B7E06" w:rsidRDefault="009B176F" w:rsidP="000B7E06">
            <w:pPr>
              <w:spacing w:after="0" w:line="240" w:lineRule="auto"/>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Porcentaje de abasto de medicamentos en clínicas del sector salud</w:t>
            </w:r>
          </w:p>
        </w:tc>
        <w:tc>
          <w:tcPr>
            <w:tcW w:w="853" w:type="dxa"/>
            <w:tcBorders>
              <w:top w:val="nil"/>
              <w:left w:val="nil"/>
              <w:bottom w:val="single" w:sz="4" w:space="0" w:color="auto"/>
              <w:right w:val="single" w:sz="4" w:space="0" w:color="auto"/>
            </w:tcBorders>
            <w:shd w:val="clear" w:color="auto" w:fill="auto"/>
            <w:noWrap/>
            <w:vAlign w:val="bottom"/>
            <w:hideMark/>
          </w:tcPr>
          <w:p w14:paraId="38116311"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SALUD</w:t>
            </w:r>
          </w:p>
        </w:tc>
        <w:tc>
          <w:tcPr>
            <w:tcW w:w="403" w:type="dxa"/>
            <w:tcBorders>
              <w:top w:val="nil"/>
              <w:left w:val="nil"/>
              <w:bottom w:val="single" w:sz="4" w:space="0" w:color="auto"/>
              <w:right w:val="single" w:sz="4" w:space="0" w:color="auto"/>
            </w:tcBorders>
            <w:shd w:val="clear" w:color="auto" w:fill="auto"/>
            <w:noWrap/>
            <w:vAlign w:val="bottom"/>
            <w:hideMark/>
          </w:tcPr>
          <w:p w14:paraId="0E124544"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774" w:type="dxa"/>
            <w:tcBorders>
              <w:top w:val="nil"/>
              <w:left w:val="nil"/>
              <w:bottom w:val="single" w:sz="4" w:space="0" w:color="auto"/>
              <w:right w:val="single" w:sz="4" w:space="0" w:color="auto"/>
            </w:tcBorders>
            <w:shd w:val="clear" w:color="auto" w:fill="auto"/>
            <w:noWrap/>
            <w:vAlign w:val="bottom"/>
            <w:hideMark/>
          </w:tcPr>
          <w:p w14:paraId="6DF7FD1E"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1217" w:type="dxa"/>
            <w:tcBorders>
              <w:top w:val="nil"/>
              <w:left w:val="nil"/>
              <w:bottom w:val="single" w:sz="4" w:space="0" w:color="auto"/>
              <w:right w:val="single" w:sz="4" w:space="0" w:color="auto"/>
            </w:tcBorders>
            <w:shd w:val="clear" w:color="auto" w:fill="auto"/>
            <w:noWrap/>
            <w:vAlign w:val="bottom"/>
            <w:hideMark/>
          </w:tcPr>
          <w:p w14:paraId="5DB669AC"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47" w:type="dxa"/>
            <w:tcBorders>
              <w:top w:val="nil"/>
              <w:left w:val="nil"/>
              <w:bottom w:val="single" w:sz="4" w:space="0" w:color="auto"/>
              <w:right w:val="single" w:sz="4" w:space="0" w:color="auto"/>
            </w:tcBorders>
            <w:shd w:val="clear" w:color="auto" w:fill="auto"/>
            <w:noWrap/>
            <w:vAlign w:val="bottom"/>
            <w:hideMark/>
          </w:tcPr>
          <w:p w14:paraId="3A00DC67"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69" w:type="dxa"/>
            <w:tcBorders>
              <w:top w:val="nil"/>
              <w:left w:val="nil"/>
              <w:bottom w:val="single" w:sz="4" w:space="0" w:color="auto"/>
              <w:right w:val="single" w:sz="4" w:space="0" w:color="auto"/>
            </w:tcBorders>
            <w:shd w:val="clear" w:color="auto" w:fill="auto"/>
            <w:noWrap/>
            <w:vAlign w:val="bottom"/>
            <w:hideMark/>
          </w:tcPr>
          <w:p w14:paraId="4E142AFE"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7" w:type="dxa"/>
            <w:tcBorders>
              <w:top w:val="nil"/>
              <w:left w:val="nil"/>
              <w:bottom w:val="single" w:sz="4" w:space="0" w:color="auto"/>
              <w:right w:val="single" w:sz="4" w:space="0" w:color="auto"/>
            </w:tcBorders>
            <w:shd w:val="clear" w:color="auto" w:fill="auto"/>
            <w:noWrap/>
            <w:vAlign w:val="bottom"/>
            <w:hideMark/>
          </w:tcPr>
          <w:p w14:paraId="76C2285D"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9" w:type="dxa"/>
            <w:tcBorders>
              <w:top w:val="nil"/>
              <w:left w:val="nil"/>
              <w:bottom w:val="single" w:sz="4" w:space="0" w:color="auto"/>
              <w:right w:val="single" w:sz="4" w:space="0" w:color="auto"/>
            </w:tcBorders>
            <w:shd w:val="clear" w:color="auto" w:fill="auto"/>
            <w:noWrap/>
            <w:vAlign w:val="bottom"/>
            <w:hideMark/>
          </w:tcPr>
          <w:p w14:paraId="11936CAD"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7" w:type="dxa"/>
            <w:tcBorders>
              <w:top w:val="nil"/>
              <w:left w:val="nil"/>
              <w:bottom w:val="single" w:sz="4" w:space="0" w:color="auto"/>
              <w:right w:val="single" w:sz="4" w:space="0" w:color="auto"/>
            </w:tcBorders>
            <w:shd w:val="clear" w:color="auto" w:fill="auto"/>
            <w:noWrap/>
            <w:vAlign w:val="bottom"/>
            <w:hideMark/>
          </w:tcPr>
          <w:p w14:paraId="5FBCEA1C"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c>
          <w:tcPr>
            <w:tcW w:w="687" w:type="dxa"/>
            <w:tcBorders>
              <w:top w:val="nil"/>
              <w:left w:val="nil"/>
              <w:bottom w:val="single" w:sz="4" w:space="0" w:color="auto"/>
              <w:right w:val="single" w:sz="4" w:space="0" w:color="auto"/>
            </w:tcBorders>
            <w:shd w:val="clear" w:color="auto" w:fill="auto"/>
            <w:noWrap/>
            <w:vAlign w:val="bottom"/>
            <w:hideMark/>
          </w:tcPr>
          <w:p w14:paraId="6D6E1607" w14:textId="77777777" w:rsidR="009B176F" w:rsidRPr="000B7E06" w:rsidRDefault="009B176F" w:rsidP="000B7E06">
            <w:pPr>
              <w:spacing w:after="0" w:line="240" w:lineRule="auto"/>
              <w:jc w:val="center"/>
              <w:rPr>
                <w:rFonts w:ascii="Myriad Pro" w:eastAsia="Times New Roman" w:hAnsi="Myriad Pro" w:cs="Times New Roman"/>
                <w:color w:val="000000"/>
                <w:sz w:val="16"/>
                <w:szCs w:val="16"/>
                <w:lang w:val="es-ES" w:eastAsia="es-ES"/>
              </w:rPr>
            </w:pPr>
            <w:r w:rsidRPr="000B7E06">
              <w:rPr>
                <w:rFonts w:ascii="Myriad Pro" w:eastAsia="Times New Roman" w:hAnsi="Myriad Pro" w:cs="Times New Roman"/>
                <w:color w:val="000000"/>
                <w:sz w:val="16"/>
                <w:szCs w:val="16"/>
                <w:lang w:val="es-ES" w:eastAsia="es-ES"/>
              </w:rPr>
              <w:t>-</w:t>
            </w:r>
          </w:p>
        </w:tc>
      </w:tr>
    </w:tbl>
    <w:p w14:paraId="1C41069C" w14:textId="77777777" w:rsidR="009B176F" w:rsidRPr="009B176F" w:rsidRDefault="009B176F" w:rsidP="009B176F">
      <w:pPr>
        <w:tabs>
          <w:tab w:val="num" w:pos="720"/>
        </w:tabs>
        <w:spacing w:after="0"/>
        <w:jc w:val="both"/>
        <w:rPr>
          <w:rFonts w:ascii="GalanoGrotesque-Medium" w:eastAsia="Times New Roman" w:hAnsi="GalanoGrotesque-Medium" w:cs="Arial"/>
          <w:sz w:val="24"/>
          <w:szCs w:val="24"/>
          <w:lang w:val="es-ES" w:eastAsia="es-ES"/>
        </w:rPr>
      </w:pPr>
    </w:p>
    <w:p w14:paraId="05A73F3B" w14:textId="77777777" w:rsidR="009B176F" w:rsidRDefault="009B176F" w:rsidP="009B176F">
      <w:pPr>
        <w:jc w:val="both"/>
        <w:rPr>
          <w:rFonts w:ascii="GalanoGrotesque-Medium" w:eastAsia="Times New Roman" w:hAnsi="GalanoGrotesque-Medium" w:cs="Arial"/>
          <w:color w:val="000000" w:themeColor="text1"/>
          <w:sz w:val="24"/>
          <w:szCs w:val="24"/>
          <w:lang w:val="es-ES" w:eastAsia="es-ES"/>
        </w:rPr>
        <w:sectPr w:rsidR="009B176F" w:rsidSect="000B7E06">
          <w:footnotePr>
            <w:numStart w:val="4"/>
          </w:footnotePr>
          <w:type w:val="continuous"/>
          <w:pgSz w:w="12240" w:h="15840"/>
          <w:pgMar w:top="1418" w:right="1134" w:bottom="1418" w:left="1134" w:header="709" w:footer="709" w:gutter="0"/>
          <w:cols w:space="567"/>
          <w:docGrid w:linePitch="360"/>
        </w:sectPr>
      </w:pPr>
    </w:p>
    <w:p w14:paraId="7C316284" w14:textId="77777777" w:rsidR="009B176F" w:rsidRPr="00A00313" w:rsidRDefault="009B176F" w:rsidP="002143B6">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lastRenderedPageBreak/>
        <w:t xml:space="preserve">El acceso a la seguridad social y la cobertura en salud son temas fundamentales para diseñar políticas públicas. En Michoacán el 26.2% de la población no cuenta con protección en salud, cifra superior a la media nacional del 18.2%. </w:t>
      </w:r>
    </w:p>
    <w:p w14:paraId="0D9D68FA" w14:textId="33B83C05" w:rsidR="000B7E06" w:rsidRDefault="009B176F" w:rsidP="002143B6">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En términos de cobertura del Seguro Popular, y de acuerdo con la categorización socioeconómica realizada para la ENSANUT 2012, la cobertura de este programa mostró ser progresiva, con un reporte de afiliación de 56.8% entre los individuos que son clasificados como quintil socioeconómico I; frente al 17.4% del quintil socioeconómico V, siendo este último el de la población con mejores condiciones de</w:t>
      </w:r>
      <w:r w:rsidR="000B7E06">
        <w:rPr>
          <w:rFonts w:ascii="MyriadPro-Regular" w:hAnsi="MyriadPro-Regular" w:cs="MyriadPro-Regular"/>
          <w:color w:val="414142"/>
          <w:sz w:val="20"/>
          <w:szCs w:val="20"/>
        </w:rPr>
        <w:t xml:space="preserve"> vida en relación a la </w:t>
      </w:r>
      <w:r w:rsidR="00DE0C10">
        <w:rPr>
          <w:rFonts w:ascii="MyriadPro-Regular" w:hAnsi="MyriadPro-Regular" w:cs="MyriadPro-Regular"/>
          <w:color w:val="414142"/>
          <w:sz w:val="20"/>
          <w:szCs w:val="20"/>
        </w:rPr>
        <w:t>anterior.</w:t>
      </w:r>
    </w:p>
    <w:p w14:paraId="6AD0FE95" w14:textId="77777777" w:rsidR="005253F1" w:rsidRPr="002143B6" w:rsidRDefault="005253F1" w:rsidP="000B7E06">
      <w:pPr>
        <w:spacing w:after="0" w:line="180" w:lineRule="exact"/>
        <w:jc w:val="center"/>
        <w:rPr>
          <w:rFonts w:ascii="GalanoGrotesque-Medium" w:hAnsi="GalanoGrotesque-Medium" w:cs="Arial"/>
          <w:b/>
          <w:color w:val="000000"/>
          <w:sz w:val="16"/>
          <w:szCs w:val="24"/>
        </w:rPr>
      </w:pPr>
      <w:r w:rsidRPr="002143B6">
        <w:rPr>
          <w:rFonts w:ascii="GalanoGrotesque-Medium" w:hAnsi="GalanoGrotesque-Medium" w:cs="Arial"/>
          <w:b/>
          <w:color w:val="000000"/>
          <w:sz w:val="16"/>
          <w:szCs w:val="24"/>
        </w:rPr>
        <w:t>Tabla 1.2</w:t>
      </w:r>
    </w:p>
    <w:p w14:paraId="6EC38A12" w14:textId="77777777" w:rsidR="005253F1" w:rsidRPr="002143B6" w:rsidRDefault="005253F1" w:rsidP="000B7E06">
      <w:pPr>
        <w:widowControl w:val="0"/>
        <w:autoSpaceDE w:val="0"/>
        <w:autoSpaceDN w:val="0"/>
        <w:adjustRightInd w:val="0"/>
        <w:spacing w:after="0" w:line="180" w:lineRule="exact"/>
        <w:jc w:val="center"/>
        <w:rPr>
          <w:rFonts w:ascii="GalanoGrotesque-Medium" w:hAnsi="GalanoGrotesque-Medium" w:cs="Arial"/>
          <w:sz w:val="16"/>
          <w:szCs w:val="24"/>
        </w:rPr>
      </w:pPr>
      <w:r w:rsidRPr="002143B6">
        <w:rPr>
          <w:rFonts w:ascii="GalanoGrotesque-Medium" w:hAnsi="GalanoGrotesque-Medium" w:cs="Arial"/>
          <w:b/>
          <w:color w:val="000000"/>
          <w:sz w:val="16"/>
          <w:szCs w:val="24"/>
        </w:rPr>
        <w:t>Población con servicios de salud por tipo de institución</w:t>
      </w:r>
    </w:p>
    <w:tbl>
      <w:tblPr>
        <w:tblW w:w="4728" w:type="dxa"/>
        <w:jc w:val="center"/>
        <w:tblCellMar>
          <w:left w:w="70" w:type="dxa"/>
          <w:right w:w="70" w:type="dxa"/>
        </w:tblCellMar>
        <w:tblLook w:val="04A0" w:firstRow="1" w:lastRow="0" w:firstColumn="1" w:lastColumn="0" w:noHBand="0" w:noVBand="1"/>
      </w:tblPr>
      <w:tblGrid>
        <w:gridCol w:w="1500"/>
        <w:gridCol w:w="686"/>
        <w:gridCol w:w="685"/>
        <w:gridCol w:w="783"/>
        <w:gridCol w:w="1100"/>
      </w:tblGrid>
      <w:tr w:rsidR="005253F1" w:rsidRPr="000B7E06" w14:paraId="04C5FC52" w14:textId="77777777" w:rsidTr="000B7E06">
        <w:trPr>
          <w:trHeight w:val="338"/>
          <w:jc w:val="center"/>
        </w:trPr>
        <w:tc>
          <w:tcPr>
            <w:tcW w:w="150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94BCC3" w14:textId="77777777" w:rsidR="005253F1" w:rsidRPr="000B7E06" w:rsidRDefault="005253F1" w:rsidP="00800F4F">
            <w:pPr>
              <w:jc w:val="center"/>
              <w:rPr>
                <w:rFonts w:ascii="GalanoGrotesque-Medium" w:hAnsi="GalanoGrotesque-Medium"/>
                <w:b/>
                <w:bCs/>
                <w:color w:val="000000"/>
                <w:sz w:val="16"/>
              </w:rPr>
            </w:pPr>
            <w:r w:rsidRPr="000B7E06">
              <w:rPr>
                <w:rFonts w:ascii="GalanoGrotesque-Medium" w:hAnsi="GalanoGrotesque-Medium"/>
                <w:b/>
                <w:bCs/>
                <w:color w:val="000000"/>
                <w:sz w:val="16"/>
              </w:rPr>
              <w:t>COMPONENTES</w:t>
            </w:r>
          </w:p>
        </w:tc>
        <w:tc>
          <w:tcPr>
            <w:tcW w:w="1371"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1A7828" w14:textId="77777777" w:rsidR="005253F1" w:rsidRPr="000B7E06" w:rsidRDefault="005253F1" w:rsidP="00800F4F">
            <w:pPr>
              <w:jc w:val="center"/>
              <w:rPr>
                <w:rFonts w:ascii="GalanoGrotesque-Medium" w:hAnsi="GalanoGrotesque-Medium"/>
                <w:b/>
                <w:bCs/>
                <w:color w:val="000000"/>
                <w:sz w:val="16"/>
              </w:rPr>
            </w:pPr>
            <w:r w:rsidRPr="000B7E06">
              <w:rPr>
                <w:rFonts w:ascii="GalanoGrotesque-Medium" w:hAnsi="GalanoGrotesque-Medium"/>
                <w:b/>
                <w:bCs/>
                <w:color w:val="000000"/>
                <w:sz w:val="16"/>
              </w:rPr>
              <w:t>PORCENTAJE</w:t>
            </w:r>
          </w:p>
        </w:tc>
        <w:tc>
          <w:tcPr>
            <w:tcW w:w="1857"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1805EEA" w14:textId="77777777" w:rsidR="005253F1" w:rsidRPr="000B7E06" w:rsidRDefault="005253F1" w:rsidP="00800F4F">
            <w:pPr>
              <w:jc w:val="center"/>
              <w:rPr>
                <w:rFonts w:ascii="GalanoGrotesque-Medium" w:hAnsi="GalanoGrotesque-Medium"/>
                <w:b/>
                <w:bCs/>
                <w:color w:val="000000"/>
                <w:sz w:val="16"/>
              </w:rPr>
            </w:pPr>
            <w:r w:rsidRPr="000B7E06">
              <w:rPr>
                <w:rFonts w:ascii="GalanoGrotesque-Medium" w:hAnsi="GalanoGrotesque-Medium"/>
                <w:b/>
                <w:bCs/>
                <w:color w:val="000000"/>
                <w:sz w:val="16"/>
              </w:rPr>
              <w:t>PERSONAS</w:t>
            </w:r>
          </w:p>
        </w:tc>
      </w:tr>
      <w:tr w:rsidR="005253F1" w:rsidRPr="000B7E06" w14:paraId="0162531F" w14:textId="77777777" w:rsidTr="000B7E06">
        <w:trPr>
          <w:trHeight w:val="338"/>
          <w:jc w:val="center"/>
        </w:trPr>
        <w:tc>
          <w:tcPr>
            <w:tcW w:w="150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6D89F1" w14:textId="77777777" w:rsidR="005253F1" w:rsidRPr="000B7E06" w:rsidRDefault="005253F1" w:rsidP="00800F4F">
            <w:pPr>
              <w:rPr>
                <w:rFonts w:ascii="GalanoGrotesque-Medium" w:hAnsi="GalanoGrotesque-Medium"/>
                <w:b/>
                <w:bCs/>
                <w:color w:val="000000"/>
                <w:sz w:val="16"/>
              </w:rPr>
            </w:pPr>
          </w:p>
        </w:tc>
        <w:tc>
          <w:tcPr>
            <w:tcW w:w="686" w:type="dxa"/>
            <w:tcBorders>
              <w:top w:val="nil"/>
              <w:left w:val="nil"/>
              <w:bottom w:val="single" w:sz="4" w:space="0" w:color="auto"/>
              <w:right w:val="single" w:sz="4" w:space="0" w:color="auto"/>
            </w:tcBorders>
            <w:shd w:val="clear" w:color="auto" w:fill="D9D9D9" w:themeFill="background1" w:themeFillShade="D9"/>
            <w:noWrap/>
            <w:vAlign w:val="center"/>
            <w:hideMark/>
          </w:tcPr>
          <w:p w14:paraId="1751A637" w14:textId="77777777" w:rsidR="005253F1" w:rsidRPr="000B7E06" w:rsidRDefault="005253F1" w:rsidP="00800F4F">
            <w:pPr>
              <w:jc w:val="center"/>
              <w:rPr>
                <w:rFonts w:ascii="GalanoGrotesque-Medium" w:hAnsi="GalanoGrotesque-Medium"/>
                <w:b/>
                <w:bCs/>
                <w:color w:val="000000"/>
                <w:sz w:val="16"/>
              </w:rPr>
            </w:pPr>
            <w:r w:rsidRPr="000B7E06">
              <w:rPr>
                <w:rFonts w:ascii="GalanoGrotesque-Medium" w:hAnsi="GalanoGrotesque-Medium"/>
                <w:b/>
                <w:bCs/>
                <w:color w:val="000000"/>
                <w:sz w:val="16"/>
              </w:rPr>
              <w:t>2010</w:t>
            </w:r>
          </w:p>
        </w:tc>
        <w:tc>
          <w:tcPr>
            <w:tcW w:w="685" w:type="dxa"/>
            <w:tcBorders>
              <w:top w:val="nil"/>
              <w:left w:val="nil"/>
              <w:bottom w:val="single" w:sz="4" w:space="0" w:color="auto"/>
              <w:right w:val="single" w:sz="4" w:space="0" w:color="auto"/>
            </w:tcBorders>
            <w:shd w:val="clear" w:color="auto" w:fill="D9D9D9" w:themeFill="background1" w:themeFillShade="D9"/>
            <w:noWrap/>
            <w:vAlign w:val="center"/>
            <w:hideMark/>
          </w:tcPr>
          <w:p w14:paraId="32624048" w14:textId="77777777" w:rsidR="005253F1" w:rsidRPr="000B7E06" w:rsidRDefault="005253F1" w:rsidP="00800F4F">
            <w:pPr>
              <w:jc w:val="center"/>
              <w:rPr>
                <w:rFonts w:ascii="GalanoGrotesque-Medium" w:hAnsi="GalanoGrotesque-Medium"/>
                <w:b/>
                <w:bCs/>
                <w:color w:val="000000"/>
                <w:sz w:val="16"/>
              </w:rPr>
            </w:pPr>
            <w:r w:rsidRPr="000B7E06">
              <w:rPr>
                <w:rFonts w:ascii="GalanoGrotesque-Medium" w:hAnsi="GalanoGrotesque-Medium"/>
                <w:b/>
                <w:bCs/>
                <w:color w:val="000000"/>
                <w:sz w:val="16"/>
              </w:rPr>
              <w:t>2015</w:t>
            </w:r>
          </w:p>
        </w:tc>
        <w:tc>
          <w:tcPr>
            <w:tcW w:w="757" w:type="dxa"/>
            <w:tcBorders>
              <w:top w:val="nil"/>
              <w:left w:val="nil"/>
              <w:bottom w:val="single" w:sz="4" w:space="0" w:color="auto"/>
              <w:right w:val="single" w:sz="4" w:space="0" w:color="auto"/>
            </w:tcBorders>
            <w:shd w:val="clear" w:color="auto" w:fill="D9D9D9" w:themeFill="background1" w:themeFillShade="D9"/>
            <w:noWrap/>
            <w:vAlign w:val="center"/>
            <w:hideMark/>
          </w:tcPr>
          <w:p w14:paraId="7E48DBC0" w14:textId="77777777" w:rsidR="005253F1" w:rsidRPr="000B7E06" w:rsidRDefault="005253F1" w:rsidP="00800F4F">
            <w:pPr>
              <w:jc w:val="center"/>
              <w:rPr>
                <w:rFonts w:ascii="GalanoGrotesque-Medium" w:hAnsi="GalanoGrotesque-Medium"/>
                <w:b/>
                <w:bCs/>
                <w:color w:val="000000"/>
                <w:sz w:val="16"/>
              </w:rPr>
            </w:pPr>
            <w:r w:rsidRPr="000B7E06">
              <w:rPr>
                <w:rFonts w:ascii="GalanoGrotesque-Medium" w:hAnsi="GalanoGrotesque-Medium"/>
                <w:b/>
                <w:bCs/>
                <w:color w:val="000000"/>
                <w:sz w:val="16"/>
              </w:rPr>
              <w:t>2010</w:t>
            </w:r>
          </w:p>
        </w:tc>
        <w:tc>
          <w:tcPr>
            <w:tcW w:w="1100" w:type="dxa"/>
            <w:tcBorders>
              <w:top w:val="nil"/>
              <w:left w:val="nil"/>
              <w:bottom w:val="single" w:sz="4" w:space="0" w:color="auto"/>
              <w:right w:val="single" w:sz="4" w:space="0" w:color="auto"/>
            </w:tcBorders>
            <w:shd w:val="clear" w:color="auto" w:fill="D9D9D9" w:themeFill="background1" w:themeFillShade="D9"/>
            <w:noWrap/>
            <w:vAlign w:val="center"/>
            <w:hideMark/>
          </w:tcPr>
          <w:p w14:paraId="4C234D89" w14:textId="77777777" w:rsidR="005253F1" w:rsidRPr="000B7E06" w:rsidRDefault="005253F1" w:rsidP="00800F4F">
            <w:pPr>
              <w:jc w:val="center"/>
              <w:rPr>
                <w:rFonts w:ascii="GalanoGrotesque-Medium" w:hAnsi="GalanoGrotesque-Medium"/>
                <w:b/>
                <w:bCs/>
                <w:color w:val="000000"/>
                <w:sz w:val="16"/>
              </w:rPr>
            </w:pPr>
            <w:r w:rsidRPr="000B7E06">
              <w:rPr>
                <w:rFonts w:ascii="GalanoGrotesque-Medium" w:hAnsi="GalanoGrotesque-Medium"/>
                <w:b/>
                <w:bCs/>
                <w:color w:val="000000"/>
                <w:sz w:val="16"/>
              </w:rPr>
              <w:t>2015</w:t>
            </w:r>
          </w:p>
        </w:tc>
      </w:tr>
      <w:tr w:rsidR="005253F1" w:rsidRPr="000B7E06" w14:paraId="41411918" w14:textId="77777777" w:rsidTr="000B7E06">
        <w:trPr>
          <w:trHeight w:val="546"/>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41B7147" w14:textId="77777777" w:rsidR="005253F1" w:rsidRPr="000B7E06" w:rsidRDefault="005253F1" w:rsidP="0054496D">
            <w:pPr>
              <w:spacing w:after="0" w:line="240" w:lineRule="auto"/>
              <w:rPr>
                <w:rFonts w:ascii="GalanoGrotesque-Medium" w:hAnsi="GalanoGrotesque-Medium"/>
                <w:color w:val="000000"/>
                <w:sz w:val="16"/>
              </w:rPr>
            </w:pPr>
            <w:r w:rsidRPr="000B7E06">
              <w:rPr>
                <w:rFonts w:ascii="GalanoGrotesque-Medium" w:hAnsi="GalanoGrotesque-Medium"/>
                <w:color w:val="000000"/>
                <w:sz w:val="16"/>
              </w:rPr>
              <w:t>Población afiliada al Seguro Popular</w:t>
            </w:r>
          </w:p>
        </w:tc>
        <w:tc>
          <w:tcPr>
            <w:tcW w:w="686" w:type="dxa"/>
            <w:tcBorders>
              <w:top w:val="nil"/>
              <w:left w:val="nil"/>
              <w:bottom w:val="single" w:sz="4" w:space="0" w:color="auto"/>
              <w:right w:val="single" w:sz="4" w:space="0" w:color="auto"/>
            </w:tcBorders>
            <w:shd w:val="clear" w:color="auto" w:fill="auto"/>
            <w:noWrap/>
            <w:vAlign w:val="center"/>
            <w:hideMark/>
          </w:tcPr>
          <w:p w14:paraId="1BD5804C"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46.12</w:t>
            </w:r>
          </w:p>
        </w:tc>
        <w:tc>
          <w:tcPr>
            <w:tcW w:w="685" w:type="dxa"/>
            <w:tcBorders>
              <w:top w:val="nil"/>
              <w:left w:val="nil"/>
              <w:bottom w:val="single" w:sz="4" w:space="0" w:color="auto"/>
              <w:right w:val="single" w:sz="4" w:space="0" w:color="auto"/>
            </w:tcBorders>
            <w:shd w:val="clear" w:color="auto" w:fill="auto"/>
            <w:noWrap/>
            <w:vAlign w:val="center"/>
            <w:hideMark/>
          </w:tcPr>
          <w:p w14:paraId="68A797DF"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63.46</w:t>
            </w:r>
          </w:p>
        </w:tc>
        <w:tc>
          <w:tcPr>
            <w:tcW w:w="757" w:type="dxa"/>
            <w:tcBorders>
              <w:top w:val="nil"/>
              <w:left w:val="nil"/>
              <w:bottom w:val="single" w:sz="4" w:space="0" w:color="auto"/>
              <w:right w:val="single" w:sz="4" w:space="0" w:color="auto"/>
            </w:tcBorders>
            <w:shd w:val="clear" w:color="auto" w:fill="auto"/>
            <w:noWrap/>
            <w:vAlign w:val="center"/>
            <w:hideMark/>
          </w:tcPr>
          <w:p w14:paraId="007A274F"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 xml:space="preserve">1,088,271 </w:t>
            </w:r>
          </w:p>
        </w:tc>
        <w:tc>
          <w:tcPr>
            <w:tcW w:w="1100" w:type="dxa"/>
            <w:tcBorders>
              <w:top w:val="nil"/>
              <w:left w:val="nil"/>
              <w:bottom w:val="single" w:sz="4" w:space="0" w:color="auto"/>
              <w:right w:val="single" w:sz="4" w:space="0" w:color="auto"/>
            </w:tcBorders>
            <w:shd w:val="clear" w:color="auto" w:fill="auto"/>
            <w:noWrap/>
            <w:vAlign w:val="center"/>
            <w:hideMark/>
          </w:tcPr>
          <w:p w14:paraId="6942C309"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 xml:space="preserve"> 2,153,903 </w:t>
            </w:r>
          </w:p>
        </w:tc>
      </w:tr>
      <w:tr w:rsidR="005253F1" w:rsidRPr="000B7E06" w14:paraId="67DC80F6" w14:textId="77777777" w:rsidTr="000B7E06">
        <w:trPr>
          <w:trHeight w:val="546"/>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796C9770" w14:textId="77777777" w:rsidR="005253F1" w:rsidRPr="000B7E06" w:rsidRDefault="005253F1" w:rsidP="0054496D">
            <w:pPr>
              <w:spacing w:after="0" w:line="240" w:lineRule="auto"/>
              <w:rPr>
                <w:rFonts w:ascii="GalanoGrotesque-Medium" w:hAnsi="GalanoGrotesque-Medium"/>
                <w:color w:val="000000"/>
                <w:sz w:val="16"/>
              </w:rPr>
            </w:pPr>
            <w:r w:rsidRPr="000B7E06">
              <w:rPr>
                <w:rFonts w:ascii="GalanoGrotesque-Medium" w:hAnsi="GalanoGrotesque-Medium"/>
                <w:color w:val="000000"/>
                <w:sz w:val="16"/>
              </w:rPr>
              <w:t>Población afiliada al IMSS</w:t>
            </w:r>
          </w:p>
        </w:tc>
        <w:tc>
          <w:tcPr>
            <w:tcW w:w="686" w:type="dxa"/>
            <w:tcBorders>
              <w:top w:val="nil"/>
              <w:left w:val="nil"/>
              <w:bottom w:val="single" w:sz="4" w:space="0" w:color="auto"/>
              <w:right w:val="single" w:sz="4" w:space="0" w:color="auto"/>
            </w:tcBorders>
            <w:shd w:val="clear" w:color="auto" w:fill="auto"/>
            <w:noWrap/>
            <w:vAlign w:val="center"/>
            <w:hideMark/>
          </w:tcPr>
          <w:p w14:paraId="55FAAF34"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40.02</w:t>
            </w:r>
          </w:p>
        </w:tc>
        <w:tc>
          <w:tcPr>
            <w:tcW w:w="685" w:type="dxa"/>
            <w:tcBorders>
              <w:top w:val="nil"/>
              <w:left w:val="nil"/>
              <w:bottom w:val="single" w:sz="4" w:space="0" w:color="auto"/>
              <w:right w:val="single" w:sz="4" w:space="0" w:color="auto"/>
            </w:tcBorders>
            <w:shd w:val="clear" w:color="auto" w:fill="auto"/>
            <w:noWrap/>
            <w:vAlign w:val="center"/>
            <w:hideMark/>
          </w:tcPr>
          <w:p w14:paraId="0D204020"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28.11</w:t>
            </w:r>
          </w:p>
        </w:tc>
        <w:tc>
          <w:tcPr>
            <w:tcW w:w="757" w:type="dxa"/>
            <w:tcBorders>
              <w:top w:val="nil"/>
              <w:left w:val="nil"/>
              <w:bottom w:val="single" w:sz="4" w:space="0" w:color="auto"/>
              <w:right w:val="single" w:sz="4" w:space="0" w:color="auto"/>
            </w:tcBorders>
            <w:shd w:val="clear" w:color="auto" w:fill="auto"/>
            <w:noWrap/>
            <w:vAlign w:val="center"/>
            <w:hideMark/>
          </w:tcPr>
          <w:p w14:paraId="2948C41F"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 xml:space="preserve"> 944,255 </w:t>
            </w:r>
          </w:p>
        </w:tc>
        <w:tc>
          <w:tcPr>
            <w:tcW w:w="1100" w:type="dxa"/>
            <w:tcBorders>
              <w:top w:val="nil"/>
              <w:left w:val="nil"/>
              <w:bottom w:val="single" w:sz="4" w:space="0" w:color="auto"/>
              <w:right w:val="single" w:sz="4" w:space="0" w:color="auto"/>
            </w:tcBorders>
            <w:shd w:val="clear" w:color="auto" w:fill="auto"/>
            <w:noWrap/>
            <w:vAlign w:val="center"/>
            <w:hideMark/>
          </w:tcPr>
          <w:p w14:paraId="6798B173"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 xml:space="preserve"> 954,085 </w:t>
            </w:r>
          </w:p>
        </w:tc>
      </w:tr>
      <w:tr w:rsidR="005253F1" w:rsidRPr="000B7E06" w14:paraId="3C63083B" w14:textId="77777777" w:rsidTr="000B7E06">
        <w:trPr>
          <w:trHeight w:val="546"/>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14C44B2" w14:textId="77777777" w:rsidR="005253F1" w:rsidRPr="000B7E06" w:rsidRDefault="005253F1" w:rsidP="0054496D">
            <w:pPr>
              <w:spacing w:after="0" w:line="240" w:lineRule="auto"/>
              <w:rPr>
                <w:rFonts w:ascii="GalanoGrotesque-Medium" w:hAnsi="GalanoGrotesque-Medium"/>
                <w:color w:val="000000"/>
                <w:sz w:val="16"/>
              </w:rPr>
            </w:pPr>
            <w:r w:rsidRPr="000B7E06">
              <w:rPr>
                <w:rFonts w:ascii="GalanoGrotesque-Medium" w:hAnsi="GalanoGrotesque-Medium"/>
                <w:color w:val="000000"/>
                <w:sz w:val="16"/>
              </w:rPr>
              <w:t>Población afiliada al ISSSTE o ISSSTE Estatal</w:t>
            </w:r>
          </w:p>
        </w:tc>
        <w:tc>
          <w:tcPr>
            <w:tcW w:w="686" w:type="dxa"/>
            <w:tcBorders>
              <w:top w:val="nil"/>
              <w:left w:val="nil"/>
              <w:bottom w:val="single" w:sz="4" w:space="0" w:color="auto"/>
              <w:right w:val="single" w:sz="4" w:space="0" w:color="auto"/>
            </w:tcBorders>
            <w:shd w:val="clear" w:color="auto" w:fill="auto"/>
            <w:noWrap/>
            <w:vAlign w:val="center"/>
            <w:hideMark/>
          </w:tcPr>
          <w:p w14:paraId="35F426A6"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10.84</w:t>
            </w:r>
          </w:p>
        </w:tc>
        <w:tc>
          <w:tcPr>
            <w:tcW w:w="685" w:type="dxa"/>
            <w:tcBorders>
              <w:top w:val="nil"/>
              <w:left w:val="nil"/>
              <w:bottom w:val="single" w:sz="4" w:space="0" w:color="auto"/>
              <w:right w:val="single" w:sz="4" w:space="0" w:color="auto"/>
            </w:tcBorders>
            <w:shd w:val="clear" w:color="auto" w:fill="auto"/>
            <w:noWrap/>
            <w:vAlign w:val="center"/>
            <w:hideMark/>
          </w:tcPr>
          <w:p w14:paraId="727B7ACE"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7.82</w:t>
            </w:r>
          </w:p>
        </w:tc>
        <w:tc>
          <w:tcPr>
            <w:tcW w:w="757" w:type="dxa"/>
            <w:tcBorders>
              <w:top w:val="nil"/>
              <w:left w:val="nil"/>
              <w:bottom w:val="single" w:sz="4" w:space="0" w:color="auto"/>
              <w:right w:val="single" w:sz="4" w:space="0" w:color="auto"/>
            </w:tcBorders>
            <w:shd w:val="clear" w:color="auto" w:fill="auto"/>
            <w:noWrap/>
            <w:vAlign w:val="center"/>
            <w:hideMark/>
          </w:tcPr>
          <w:p w14:paraId="06231C23"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 xml:space="preserve"> 255,766 </w:t>
            </w:r>
          </w:p>
        </w:tc>
        <w:tc>
          <w:tcPr>
            <w:tcW w:w="1100" w:type="dxa"/>
            <w:tcBorders>
              <w:top w:val="nil"/>
              <w:left w:val="nil"/>
              <w:bottom w:val="single" w:sz="4" w:space="0" w:color="auto"/>
              <w:right w:val="single" w:sz="4" w:space="0" w:color="auto"/>
            </w:tcBorders>
            <w:shd w:val="clear" w:color="auto" w:fill="auto"/>
            <w:noWrap/>
            <w:vAlign w:val="center"/>
            <w:hideMark/>
          </w:tcPr>
          <w:p w14:paraId="0BFB2264"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 xml:space="preserve"> 265,419 </w:t>
            </w:r>
          </w:p>
        </w:tc>
      </w:tr>
      <w:tr w:rsidR="005253F1" w:rsidRPr="000B7E06" w14:paraId="30C89A1F" w14:textId="77777777" w:rsidTr="000B7E06">
        <w:trPr>
          <w:trHeight w:val="546"/>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E3F9839" w14:textId="77777777" w:rsidR="005253F1" w:rsidRPr="000B7E06" w:rsidRDefault="005253F1" w:rsidP="0054496D">
            <w:pPr>
              <w:spacing w:after="0" w:line="240" w:lineRule="auto"/>
              <w:rPr>
                <w:rFonts w:ascii="GalanoGrotesque-Medium" w:hAnsi="GalanoGrotesque-Medium"/>
                <w:color w:val="000000"/>
                <w:sz w:val="16"/>
              </w:rPr>
            </w:pPr>
            <w:r w:rsidRPr="000B7E06">
              <w:rPr>
                <w:rFonts w:ascii="GalanoGrotesque-Medium" w:hAnsi="GalanoGrotesque-Medium"/>
                <w:color w:val="000000"/>
                <w:sz w:val="16"/>
              </w:rPr>
              <w:t>Población afiliada a PEMEX, Defensa o Marina</w:t>
            </w:r>
          </w:p>
        </w:tc>
        <w:tc>
          <w:tcPr>
            <w:tcW w:w="686" w:type="dxa"/>
            <w:tcBorders>
              <w:top w:val="nil"/>
              <w:left w:val="nil"/>
              <w:bottom w:val="single" w:sz="4" w:space="0" w:color="auto"/>
              <w:right w:val="single" w:sz="4" w:space="0" w:color="auto"/>
            </w:tcBorders>
            <w:shd w:val="clear" w:color="auto" w:fill="auto"/>
            <w:noWrap/>
            <w:vAlign w:val="center"/>
            <w:hideMark/>
          </w:tcPr>
          <w:p w14:paraId="28BFA5EA"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0.48</w:t>
            </w:r>
          </w:p>
        </w:tc>
        <w:tc>
          <w:tcPr>
            <w:tcW w:w="685" w:type="dxa"/>
            <w:tcBorders>
              <w:top w:val="nil"/>
              <w:left w:val="nil"/>
              <w:bottom w:val="single" w:sz="4" w:space="0" w:color="auto"/>
              <w:right w:val="single" w:sz="4" w:space="0" w:color="auto"/>
            </w:tcBorders>
            <w:shd w:val="clear" w:color="auto" w:fill="auto"/>
            <w:noWrap/>
            <w:vAlign w:val="center"/>
            <w:hideMark/>
          </w:tcPr>
          <w:p w14:paraId="5B4CC85D"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0.39</w:t>
            </w:r>
          </w:p>
        </w:tc>
        <w:tc>
          <w:tcPr>
            <w:tcW w:w="757" w:type="dxa"/>
            <w:tcBorders>
              <w:top w:val="nil"/>
              <w:left w:val="nil"/>
              <w:bottom w:val="single" w:sz="4" w:space="0" w:color="auto"/>
              <w:right w:val="single" w:sz="4" w:space="0" w:color="auto"/>
            </w:tcBorders>
            <w:shd w:val="clear" w:color="auto" w:fill="auto"/>
            <w:noWrap/>
            <w:vAlign w:val="center"/>
            <w:hideMark/>
          </w:tcPr>
          <w:p w14:paraId="2BAF8721"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 xml:space="preserve"> 11,389 </w:t>
            </w:r>
          </w:p>
        </w:tc>
        <w:tc>
          <w:tcPr>
            <w:tcW w:w="1100" w:type="dxa"/>
            <w:tcBorders>
              <w:top w:val="nil"/>
              <w:left w:val="nil"/>
              <w:bottom w:val="single" w:sz="4" w:space="0" w:color="auto"/>
              <w:right w:val="single" w:sz="4" w:space="0" w:color="auto"/>
            </w:tcBorders>
            <w:shd w:val="clear" w:color="auto" w:fill="auto"/>
            <w:noWrap/>
            <w:vAlign w:val="center"/>
            <w:hideMark/>
          </w:tcPr>
          <w:p w14:paraId="07DFD3AF"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 xml:space="preserve"> 13,237 </w:t>
            </w:r>
          </w:p>
        </w:tc>
      </w:tr>
      <w:tr w:rsidR="005253F1" w:rsidRPr="000B7E06" w14:paraId="2005DA08" w14:textId="77777777" w:rsidTr="000B7E06">
        <w:trPr>
          <w:trHeight w:val="546"/>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ACD5DEC" w14:textId="77777777" w:rsidR="005253F1" w:rsidRPr="000B7E06" w:rsidRDefault="005253F1" w:rsidP="0054496D">
            <w:pPr>
              <w:spacing w:after="0" w:line="240" w:lineRule="auto"/>
              <w:rPr>
                <w:rFonts w:ascii="GalanoGrotesque-Medium" w:hAnsi="GalanoGrotesque-Medium"/>
                <w:color w:val="000000"/>
                <w:sz w:val="16"/>
              </w:rPr>
            </w:pPr>
            <w:r w:rsidRPr="000B7E06">
              <w:rPr>
                <w:rFonts w:ascii="GalanoGrotesque-Medium" w:hAnsi="GalanoGrotesque-Medium"/>
                <w:color w:val="000000"/>
                <w:sz w:val="16"/>
              </w:rPr>
              <w:t>Población afiliada a Institución Privada</w:t>
            </w:r>
          </w:p>
        </w:tc>
        <w:tc>
          <w:tcPr>
            <w:tcW w:w="686" w:type="dxa"/>
            <w:tcBorders>
              <w:top w:val="nil"/>
              <w:left w:val="nil"/>
              <w:bottom w:val="single" w:sz="4" w:space="0" w:color="auto"/>
              <w:right w:val="single" w:sz="4" w:space="0" w:color="auto"/>
            </w:tcBorders>
            <w:shd w:val="clear" w:color="auto" w:fill="auto"/>
            <w:noWrap/>
            <w:vAlign w:val="center"/>
            <w:hideMark/>
          </w:tcPr>
          <w:p w14:paraId="5398E539"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1.53</w:t>
            </w:r>
          </w:p>
        </w:tc>
        <w:tc>
          <w:tcPr>
            <w:tcW w:w="685" w:type="dxa"/>
            <w:tcBorders>
              <w:top w:val="nil"/>
              <w:left w:val="nil"/>
              <w:bottom w:val="single" w:sz="4" w:space="0" w:color="auto"/>
              <w:right w:val="single" w:sz="4" w:space="0" w:color="auto"/>
            </w:tcBorders>
            <w:shd w:val="clear" w:color="auto" w:fill="auto"/>
            <w:noWrap/>
            <w:vAlign w:val="center"/>
            <w:hideMark/>
          </w:tcPr>
          <w:p w14:paraId="2B9EA848"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1.53</w:t>
            </w:r>
          </w:p>
        </w:tc>
        <w:tc>
          <w:tcPr>
            <w:tcW w:w="757" w:type="dxa"/>
            <w:tcBorders>
              <w:top w:val="nil"/>
              <w:left w:val="nil"/>
              <w:bottom w:val="single" w:sz="4" w:space="0" w:color="auto"/>
              <w:right w:val="single" w:sz="4" w:space="0" w:color="auto"/>
            </w:tcBorders>
            <w:shd w:val="clear" w:color="auto" w:fill="auto"/>
            <w:noWrap/>
            <w:vAlign w:val="center"/>
            <w:hideMark/>
          </w:tcPr>
          <w:p w14:paraId="00AA8D34"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 xml:space="preserve"> 36,153 </w:t>
            </w:r>
          </w:p>
        </w:tc>
        <w:tc>
          <w:tcPr>
            <w:tcW w:w="1100" w:type="dxa"/>
            <w:tcBorders>
              <w:top w:val="nil"/>
              <w:left w:val="nil"/>
              <w:bottom w:val="single" w:sz="4" w:space="0" w:color="auto"/>
              <w:right w:val="single" w:sz="4" w:space="0" w:color="auto"/>
            </w:tcBorders>
            <w:shd w:val="clear" w:color="auto" w:fill="auto"/>
            <w:noWrap/>
            <w:vAlign w:val="center"/>
            <w:hideMark/>
          </w:tcPr>
          <w:p w14:paraId="29F7BC77" w14:textId="77777777" w:rsidR="005253F1" w:rsidRPr="000B7E06" w:rsidRDefault="005253F1" w:rsidP="0054496D">
            <w:pPr>
              <w:spacing w:after="0" w:line="240" w:lineRule="auto"/>
              <w:jc w:val="right"/>
              <w:rPr>
                <w:rFonts w:ascii="GalanoGrotesque-Medium" w:hAnsi="GalanoGrotesque-Medium"/>
                <w:color w:val="000000"/>
                <w:sz w:val="16"/>
              </w:rPr>
            </w:pPr>
            <w:r w:rsidRPr="000B7E06">
              <w:rPr>
                <w:rFonts w:ascii="GalanoGrotesque-Medium" w:hAnsi="GalanoGrotesque-Medium"/>
                <w:color w:val="000000"/>
                <w:sz w:val="16"/>
              </w:rPr>
              <w:t xml:space="preserve"> 51,930 </w:t>
            </w:r>
          </w:p>
        </w:tc>
      </w:tr>
      <w:tr w:rsidR="005253F1" w:rsidRPr="000B7E06" w14:paraId="5351D717" w14:textId="77777777" w:rsidTr="000B7E06">
        <w:trPr>
          <w:trHeight w:val="546"/>
          <w:jc w:val="center"/>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B8A17BF" w14:textId="77777777" w:rsidR="005253F1" w:rsidRPr="000B7E06" w:rsidRDefault="005253F1" w:rsidP="00800F4F">
            <w:pPr>
              <w:rPr>
                <w:rFonts w:ascii="GalanoGrotesque-Medium" w:hAnsi="GalanoGrotesque-Medium"/>
                <w:color w:val="000000"/>
                <w:sz w:val="16"/>
              </w:rPr>
            </w:pPr>
            <w:r w:rsidRPr="000B7E06">
              <w:rPr>
                <w:rFonts w:ascii="GalanoGrotesque-Medium" w:hAnsi="GalanoGrotesque-Medium"/>
                <w:color w:val="000000"/>
                <w:sz w:val="16"/>
              </w:rPr>
              <w:t>Población afiliada a Otra Institución</w:t>
            </w:r>
          </w:p>
        </w:tc>
        <w:tc>
          <w:tcPr>
            <w:tcW w:w="686" w:type="dxa"/>
            <w:tcBorders>
              <w:top w:val="nil"/>
              <w:left w:val="nil"/>
              <w:bottom w:val="single" w:sz="4" w:space="0" w:color="auto"/>
              <w:right w:val="single" w:sz="4" w:space="0" w:color="auto"/>
            </w:tcBorders>
            <w:shd w:val="clear" w:color="auto" w:fill="auto"/>
            <w:noWrap/>
            <w:vAlign w:val="center"/>
            <w:hideMark/>
          </w:tcPr>
          <w:p w14:paraId="1BBDCA60" w14:textId="77777777" w:rsidR="005253F1" w:rsidRPr="000B7E06" w:rsidRDefault="005253F1" w:rsidP="00800F4F">
            <w:pPr>
              <w:jc w:val="right"/>
              <w:rPr>
                <w:rFonts w:ascii="GalanoGrotesque-Medium" w:hAnsi="GalanoGrotesque-Medium"/>
                <w:color w:val="000000"/>
                <w:sz w:val="16"/>
              </w:rPr>
            </w:pPr>
            <w:r w:rsidRPr="000B7E06">
              <w:rPr>
                <w:rFonts w:ascii="GalanoGrotesque-Medium" w:hAnsi="GalanoGrotesque-Medium"/>
                <w:color w:val="000000"/>
                <w:sz w:val="16"/>
              </w:rPr>
              <w:t>1.91</w:t>
            </w:r>
          </w:p>
        </w:tc>
        <w:tc>
          <w:tcPr>
            <w:tcW w:w="685" w:type="dxa"/>
            <w:tcBorders>
              <w:top w:val="nil"/>
              <w:left w:val="nil"/>
              <w:bottom w:val="single" w:sz="4" w:space="0" w:color="auto"/>
              <w:right w:val="single" w:sz="4" w:space="0" w:color="auto"/>
            </w:tcBorders>
            <w:shd w:val="clear" w:color="auto" w:fill="auto"/>
            <w:noWrap/>
            <w:vAlign w:val="center"/>
            <w:hideMark/>
          </w:tcPr>
          <w:p w14:paraId="5B0987BF" w14:textId="77777777" w:rsidR="005253F1" w:rsidRPr="000B7E06" w:rsidRDefault="005253F1" w:rsidP="00800F4F">
            <w:pPr>
              <w:jc w:val="right"/>
              <w:rPr>
                <w:rFonts w:ascii="GalanoGrotesque-Medium" w:hAnsi="GalanoGrotesque-Medium"/>
                <w:color w:val="000000"/>
                <w:sz w:val="16"/>
              </w:rPr>
            </w:pPr>
            <w:r w:rsidRPr="000B7E06">
              <w:rPr>
                <w:rFonts w:ascii="GalanoGrotesque-Medium" w:hAnsi="GalanoGrotesque-Medium"/>
                <w:color w:val="000000"/>
                <w:sz w:val="16"/>
              </w:rPr>
              <w:t>0.79</w:t>
            </w:r>
          </w:p>
        </w:tc>
        <w:tc>
          <w:tcPr>
            <w:tcW w:w="757" w:type="dxa"/>
            <w:tcBorders>
              <w:top w:val="nil"/>
              <w:left w:val="nil"/>
              <w:bottom w:val="single" w:sz="4" w:space="0" w:color="auto"/>
              <w:right w:val="single" w:sz="4" w:space="0" w:color="auto"/>
            </w:tcBorders>
            <w:shd w:val="clear" w:color="auto" w:fill="auto"/>
            <w:noWrap/>
            <w:vAlign w:val="center"/>
            <w:hideMark/>
          </w:tcPr>
          <w:p w14:paraId="17A99BCB" w14:textId="77777777" w:rsidR="005253F1" w:rsidRPr="000B7E06" w:rsidRDefault="005253F1" w:rsidP="00800F4F">
            <w:pPr>
              <w:jc w:val="right"/>
              <w:rPr>
                <w:rFonts w:ascii="GalanoGrotesque-Medium" w:hAnsi="GalanoGrotesque-Medium"/>
                <w:color w:val="000000"/>
                <w:sz w:val="16"/>
              </w:rPr>
            </w:pPr>
            <w:r w:rsidRPr="000B7E06">
              <w:rPr>
                <w:rFonts w:ascii="GalanoGrotesque-Medium" w:hAnsi="GalanoGrotesque-Medium"/>
                <w:color w:val="000000"/>
                <w:sz w:val="16"/>
              </w:rPr>
              <w:t xml:space="preserve"> 45,132 </w:t>
            </w:r>
          </w:p>
        </w:tc>
        <w:tc>
          <w:tcPr>
            <w:tcW w:w="1100" w:type="dxa"/>
            <w:tcBorders>
              <w:top w:val="nil"/>
              <w:left w:val="nil"/>
              <w:bottom w:val="single" w:sz="4" w:space="0" w:color="auto"/>
              <w:right w:val="single" w:sz="4" w:space="0" w:color="auto"/>
            </w:tcBorders>
            <w:shd w:val="clear" w:color="auto" w:fill="auto"/>
            <w:noWrap/>
            <w:vAlign w:val="center"/>
            <w:hideMark/>
          </w:tcPr>
          <w:p w14:paraId="60CA7E08" w14:textId="77777777" w:rsidR="005253F1" w:rsidRPr="000B7E06" w:rsidRDefault="005253F1" w:rsidP="00800F4F">
            <w:pPr>
              <w:jc w:val="right"/>
              <w:rPr>
                <w:rFonts w:ascii="GalanoGrotesque-Medium" w:hAnsi="GalanoGrotesque-Medium"/>
                <w:color w:val="000000"/>
                <w:sz w:val="16"/>
              </w:rPr>
            </w:pPr>
            <w:r w:rsidRPr="000B7E06">
              <w:rPr>
                <w:rFonts w:ascii="GalanoGrotesque-Medium" w:hAnsi="GalanoGrotesque-Medium"/>
                <w:color w:val="000000"/>
                <w:sz w:val="16"/>
              </w:rPr>
              <w:t xml:space="preserve"> 26,813 </w:t>
            </w:r>
          </w:p>
        </w:tc>
      </w:tr>
    </w:tbl>
    <w:p w14:paraId="05B57390" w14:textId="77777777" w:rsidR="005253F1" w:rsidRPr="0054496D" w:rsidRDefault="005253F1" w:rsidP="000B7E06">
      <w:pPr>
        <w:spacing w:after="160" w:line="180" w:lineRule="exact"/>
        <w:rPr>
          <w:rFonts w:ascii="MyriadPro-Regular" w:hAnsi="MyriadPro-Regular" w:cs="MyriadPro-Regular"/>
          <w:color w:val="404040" w:themeColor="text1" w:themeTint="BF"/>
          <w:sz w:val="16"/>
          <w:szCs w:val="16"/>
        </w:rPr>
      </w:pPr>
      <w:r w:rsidRPr="0054496D">
        <w:rPr>
          <w:rFonts w:ascii="MyriadPro-Regular" w:hAnsi="MyriadPro-Regular" w:cs="MyriadPro-Regular"/>
          <w:color w:val="404040" w:themeColor="text1" w:themeTint="BF"/>
          <w:sz w:val="16"/>
          <w:szCs w:val="16"/>
        </w:rPr>
        <w:t xml:space="preserve">Fuente: Tabulados básicos: Censo de Población y Vivienda 2010; Encuesta </w:t>
      </w:r>
      <w:proofErr w:type="spellStart"/>
      <w:r w:rsidRPr="0054496D">
        <w:rPr>
          <w:rFonts w:ascii="MyriadPro-Regular" w:hAnsi="MyriadPro-Regular" w:cs="MyriadPro-Regular"/>
          <w:color w:val="404040" w:themeColor="text1" w:themeTint="BF"/>
          <w:sz w:val="16"/>
          <w:szCs w:val="16"/>
        </w:rPr>
        <w:t>Intercensal</w:t>
      </w:r>
      <w:proofErr w:type="spellEnd"/>
      <w:r w:rsidRPr="0054496D">
        <w:rPr>
          <w:rFonts w:ascii="MyriadPro-Regular" w:hAnsi="MyriadPro-Regular" w:cs="MyriadPro-Regular"/>
          <w:color w:val="404040" w:themeColor="text1" w:themeTint="BF"/>
          <w:sz w:val="16"/>
          <w:szCs w:val="16"/>
        </w:rPr>
        <w:t xml:space="preserve"> 2015, INEGI.</w:t>
      </w:r>
    </w:p>
    <w:p w14:paraId="1D1F0580" w14:textId="77777777" w:rsidR="005253F1" w:rsidRPr="000B7E06" w:rsidRDefault="005253F1" w:rsidP="00A00313">
      <w:pPr>
        <w:spacing w:after="240"/>
        <w:jc w:val="both"/>
        <w:rPr>
          <w:rFonts w:ascii="MyriadPro-Regular" w:hAnsi="MyriadPro-Regular" w:cs="MyriadPro-Regular"/>
          <w:color w:val="404040" w:themeColor="text1" w:themeTint="BF"/>
          <w:sz w:val="20"/>
          <w:szCs w:val="20"/>
        </w:rPr>
      </w:pPr>
      <w:r w:rsidRPr="0054496D">
        <w:rPr>
          <w:rFonts w:ascii="MyriadPro-Regular" w:hAnsi="MyriadPro-Regular" w:cs="MyriadPro-Regular"/>
          <w:color w:val="404040" w:themeColor="text1" w:themeTint="BF"/>
          <w:sz w:val="16"/>
          <w:szCs w:val="16"/>
        </w:rPr>
        <w:t>Nota: El porcentaje para cada institución de servicios de salud se obtuvo con respecto de la población afiliada. La suma de los porcentajes puede ser mayor a 100% debido a las personas pueden estar afiliadas en más de una institución de salud.</w:t>
      </w:r>
    </w:p>
    <w:p w14:paraId="4A22BD17" w14:textId="77777777" w:rsidR="005253F1" w:rsidRPr="00A00313" w:rsidRDefault="005253F1" w:rsidP="000B7E06">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La tasa bruta de mortalidad es el número de defunciones ocurridas en una población, entre la población a mitad de año expresadas por mil. Esta </w:t>
      </w:r>
      <w:r w:rsidRPr="00A00313">
        <w:rPr>
          <w:rFonts w:ascii="MyriadPro-Regular" w:hAnsi="MyriadPro-Regular" w:cs="MyriadPro-Regular"/>
          <w:color w:val="414142"/>
          <w:sz w:val="20"/>
          <w:szCs w:val="20"/>
        </w:rPr>
        <w:lastRenderedPageBreak/>
        <w:t>tasa para Michoacán es de 6.3, lo que ubica al Estado en el vigésimo octavo lugar a nivel nacional.</w:t>
      </w:r>
    </w:p>
    <w:p w14:paraId="31BD0109" w14:textId="77777777" w:rsidR="000B7E06" w:rsidRPr="002143B6" w:rsidRDefault="005253F1" w:rsidP="000B7E06">
      <w:pPr>
        <w:spacing w:after="0" w:line="180" w:lineRule="exact"/>
        <w:jc w:val="center"/>
        <w:rPr>
          <w:rFonts w:ascii="GalanoGrotesque-Medium" w:hAnsi="GalanoGrotesque-Medium" w:cs="Arial"/>
          <w:b/>
          <w:color w:val="000000"/>
          <w:sz w:val="16"/>
          <w:szCs w:val="24"/>
        </w:rPr>
      </w:pPr>
      <w:r w:rsidRPr="002143B6">
        <w:rPr>
          <w:rFonts w:ascii="GalanoGrotesque-Medium" w:hAnsi="GalanoGrotesque-Medium" w:cs="Arial"/>
          <w:b/>
          <w:color w:val="000000"/>
          <w:sz w:val="16"/>
          <w:szCs w:val="24"/>
        </w:rPr>
        <w:t>Grafica 1.1</w:t>
      </w:r>
    </w:p>
    <w:p w14:paraId="3ADD7C67" w14:textId="77777777" w:rsidR="005253F1" w:rsidRPr="002143B6" w:rsidRDefault="005253F1" w:rsidP="000B7E06">
      <w:pPr>
        <w:spacing w:after="0" w:line="180" w:lineRule="exact"/>
        <w:jc w:val="center"/>
        <w:rPr>
          <w:rFonts w:ascii="GalanoGrotesque-Medium" w:hAnsi="GalanoGrotesque-Medium" w:cs="Arial"/>
          <w:b/>
          <w:color w:val="000000"/>
          <w:sz w:val="16"/>
          <w:szCs w:val="24"/>
        </w:rPr>
      </w:pPr>
      <w:r w:rsidRPr="002143B6">
        <w:rPr>
          <w:rFonts w:ascii="GalanoGrotesque-Medium" w:hAnsi="GalanoGrotesque-Medium" w:cs="Arial"/>
          <w:b/>
          <w:color w:val="000000"/>
          <w:sz w:val="16"/>
          <w:szCs w:val="24"/>
        </w:rPr>
        <w:t>Tasa bruta de mortalidad por entidad federativa, 2015</w:t>
      </w:r>
    </w:p>
    <w:p w14:paraId="5DFA55DB" w14:textId="77777777" w:rsidR="005253F1" w:rsidRPr="001E7327" w:rsidRDefault="005253F1" w:rsidP="005253F1">
      <w:pPr>
        <w:jc w:val="center"/>
        <w:rPr>
          <w:rFonts w:ascii="GalanoGrotesque-Medium" w:hAnsi="GalanoGrotesque-Medium" w:cs="Arial"/>
          <w:b/>
        </w:rPr>
      </w:pPr>
      <w:r w:rsidRPr="001E7327">
        <w:rPr>
          <w:rFonts w:ascii="GalanoGrotesque-Medium" w:hAnsi="GalanoGrotesque-Medium" w:cs="Arial"/>
          <w:noProof/>
          <w:lang w:val="es-ES" w:eastAsia="es-ES"/>
        </w:rPr>
        <w:drawing>
          <wp:inline distT="0" distB="0" distL="0" distR="0" wp14:anchorId="4F6ABC76" wp14:editId="4CCCDB00">
            <wp:extent cx="2514669" cy="3534508"/>
            <wp:effectExtent l="0" t="0" r="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127" t="19936" r="51241" b="-59"/>
                    <a:stretch/>
                  </pic:blipFill>
                  <pic:spPr bwMode="auto">
                    <a:xfrm>
                      <a:off x="0" y="0"/>
                      <a:ext cx="2535705" cy="3564076"/>
                    </a:xfrm>
                    <a:prstGeom prst="rect">
                      <a:avLst/>
                    </a:prstGeom>
                    <a:noFill/>
                    <a:ln>
                      <a:noFill/>
                    </a:ln>
                    <a:extLst>
                      <a:ext uri="{53640926-AAD7-44D8-BBD7-CCE9431645EC}">
                        <a14:shadowObscured xmlns:a14="http://schemas.microsoft.com/office/drawing/2010/main"/>
                      </a:ext>
                    </a:extLst>
                  </pic:spPr>
                </pic:pic>
              </a:graphicData>
            </a:graphic>
          </wp:inline>
        </w:drawing>
      </w:r>
    </w:p>
    <w:p w14:paraId="67BC959D" w14:textId="77777777" w:rsidR="005253F1" w:rsidRPr="000B7E06" w:rsidRDefault="005253F1" w:rsidP="005253F1">
      <w:pPr>
        <w:rPr>
          <w:rFonts w:ascii="MyriadPro-Regular" w:hAnsi="MyriadPro-Regular" w:cs="MyriadPro-Regular"/>
          <w:color w:val="404040" w:themeColor="text1" w:themeTint="BF"/>
          <w:sz w:val="16"/>
          <w:szCs w:val="20"/>
        </w:rPr>
      </w:pPr>
      <w:r w:rsidRPr="000B7E06">
        <w:rPr>
          <w:rFonts w:ascii="MyriadPro-Regular" w:hAnsi="MyriadPro-Regular" w:cs="MyriadPro-Regular"/>
          <w:color w:val="404040" w:themeColor="text1" w:themeTint="BF"/>
          <w:sz w:val="16"/>
          <w:szCs w:val="20"/>
        </w:rPr>
        <w:t>Fuente: Elaboración del Consejo Nacional de Población.</w:t>
      </w:r>
    </w:p>
    <w:p w14:paraId="48C486D2" w14:textId="77777777" w:rsidR="005253F1" w:rsidRPr="00A00313" w:rsidRDefault="005253F1" w:rsidP="005253F1">
      <w:pPr>
        <w:spacing w:after="240"/>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Los anteriores retos muestran una debilidad institucional aunada a una desarticulación de las instancias de salud, lo cual invita a una mejor planeación de los recursos destinados a fortalecer la infraestructura y mejorar la calidad de los servicios de salud. </w:t>
      </w:r>
      <w:r w:rsidRPr="00A00313">
        <w:rPr>
          <w:rFonts w:ascii="MyriadPro-Regular" w:hAnsi="MyriadPro-Regular" w:cs="MyriadPro-Regular"/>
          <w:noProof/>
          <w:color w:val="414142"/>
          <w:sz w:val="20"/>
          <w:szCs w:val="20"/>
          <w:lang w:val="es-ES" w:eastAsia="es-ES"/>
        </w:rPr>
        <mc:AlternateContent>
          <mc:Choice Requires="wpg">
            <w:drawing>
              <wp:anchor distT="0" distB="0" distL="114300" distR="114300" simplePos="0" relativeHeight="251708928" behindDoc="0" locked="0" layoutInCell="1" allowOverlap="1" wp14:anchorId="69FA6A8F" wp14:editId="46D6EECD">
                <wp:simplePos x="0" y="0"/>
                <wp:positionH relativeFrom="column">
                  <wp:posOffset>-8129270</wp:posOffset>
                </wp:positionH>
                <wp:positionV relativeFrom="paragraph">
                  <wp:posOffset>5264785</wp:posOffset>
                </wp:positionV>
                <wp:extent cx="6959600" cy="791845"/>
                <wp:effectExtent l="0" t="19050" r="50800" b="65405"/>
                <wp:wrapNone/>
                <wp:docPr id="7578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791845"/>
                          <a:chOff x="14057" y="10683"/>
                          <a:chExt cx="8146" cy="1247"/>
                        </a:xfrm>
                      </wpg:grpSpPr>
                      <wps:wsp>
                        <wps:cNvPr id="75787" name="AutoShape 7"/>
                        <wps:cNvSpPr>
                          <a:spLocks noChangeArrowheads="1"/>
                        </wps:cNvSpPr>
                        <wps:spPr bwMode="auto">
                          <a:xfrm>
                            <a:off x="14057" y="10683"/>
                            <a:ext cx="8146" cy="1247"/>
                          </a:xfrm>
                          <a:prstGeom prst="rightArrow">
                            <a:avLst>
                              <a:gd name="adj1" fmla="val 58620"/>
                              <a:gd name="adj2" fmla="val 7875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75790" name="Cuadro de texto 2"/>
                        <wps:cNvSpPr txBox="1">
                          <a:spLocks noChangeArrowheads="1"/>
                        </wps:cNvSpPr>
                        <wps:spPr bwMode="auto">
                          <a:xfrm>
                            <a:off x="14720" y="10940"/>
                            <a:ext cx="5842"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2FBFA" w14:textId="77777777" w:rsidR="00082EBA" w:rsidRPr="000C1C16" w:rsidRDefault="00082EBA" w:rsidP="005253F1">
                              <w:pPr>
                                <w:rPr>
                                  <w:b/>
                                  <w:color w:val="FFFF00"/>
                                  <w:sz w:val="40"/>
                                </w:rPr>
                              </w:pPr>
                              <w:r w:rsidRPr="000C1C16">
                                <w:rPr>
                                  <w:b/>
                                  <w:color w:val="FFFF00"/>
                                  <w:sz w:val="40"/>
                                </w:rPr>
                                <w:t>Agrava Significativamente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A6A8F" id="Group 10" o:spid="_x0000_s1041" style="position:absolute;left:0;text-align:left;margin-left:-640.1pt;margin-top:414.55pt;width:548pt;height:62.35pt;z-index:251708928;mso-position-horizontal-relative:text;mso-position-vertical-relative:text" coordorigin="14057,10683" coordsize="8146,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42" type="#_x0000_t13" style="position:absolute;left:14057;top:10683;width:8146;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dOscA&#10;AADeAAAADwAAAGRycy9kb3ducmV2LnhtbESPQWvCQBSE74L/YXlCL1I3FtpI6ioaKvSqlWBvj+wz&#10;iWbfptk1xn/vCgWPw8x8w8yXvalFR62rLCuYTiIQxLnVFRcK9j+b1xkI55E11pZJwY0cLBfDwRwT&#10;ba+8pW7nCxEg7BJUUHrfJFK6vCSDbmIb4uAdbWvQB9kWUrd4DXBTy7co+pAGKw4LJTaUlpSfdxej&#10;IBtX/eFwWme++52mafb3da6zvVIvo371CcJT75/h//a3VhC/x7MYHn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1HTrHAAAA3gAAAA8AAAAAAAAAAAAAAAAAmAIAAGRy&#10;cy9kb3ducmV2LnhtbFBLBQYAAAAABAAEAPUAAACMAwAAAAA=&#10;" adj="18996,4469" fillcolor="#95b3d7" strokecolor="#4f81bd" strokeweight="1pt">
                  <v:fill color2="#4f81bd" focus="50%" type="gradient"/>
                  <v:shadow on="t" color="#243f60" offset="1pt"/>
                </v:shape>
                <v:shape id="_x0000_s1043" type="#_x0000_t202" style="position:absolute;left:14720;top:10940;width:5842;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y8UA&#10;AADeAAAADwAAAGRycy9kb3ducmV2LnhtbESPXWvCMBSG7wf+h3AG3q3JxvzqjCIbglcTqw52d2iO&#10;bVlzEppou3+/XAy8fHm/eJbrwbbiRl1oHGt4zhQI4tKZhisNp+P2aQ4iRGSDrWPS8EsB1qvRwxJz&#10;43o+0K2IlUgjHHLUUMfocylDWZPFkDlPnLyL6yzGJLtKmg77NG5b+aLUVFpsOD3U6Om9pvKnuFoN&#10;58/L99er2lcfduJ7NyjJdiG1Hj8OmzcQkYZ4D/+3d0bDbDJbJICEk1B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z/LxQAAAN4AAAAPAAAAAAAAAAAAAAAAAJgCAABkcnMv&#10;ZG93bnJldi54bWxQSwUGAAAAAAQABAD1AAAAigMAAAAA&#10;" filled="f" stroked="f">
                  <v:textbox>
                    <w:txbxContent>
                      <w:p w14:paraId="1152FBFA" w14:textId="77777777" w:rsidR="00082EBA" w:rsidRPr="000C1C16" w:rsidRDefault="00082EBA" w:rsidP="005253F1">
                        <w:pPr>
                          <w:rPr>
                            <w:b/>
                            <w:color w:val="FFFF00"/>
                            <w:sz w:val="40"/>
                          </w:rPr>
                        </w:pPr>
                        <w:r w:rsidRPr="000C1C16">
                          <w:rPr>
                            <w:b/>
                            <w:color w:val="FFFF00"/>
                            <w:sz w:val="40"/>
                          </w:rPr>
                          <w:t>Agrava Significativamente</w:t>
                        </w:r>
                      </w:p>
                    </w:txbxContent>
                  </v:textbox>
                </v:shape>
              </v:group>
            </w:pict>
          </mc:Fallback>
        </mc:AlternateContent>
      </w:r>
    </w:p>
    <w:p w14:paraId="3674F783" w14:textId="77777777" w:rsidR="005253F1" w:rsidRPr="000B7E06" w:rsidRDefault="005253F1" w:rsidP="000B7E06">
      <w:pPr>
        <w:pStyle w:val="Prrafodelista"/>
        <w:numPr>
          <w:ilvl w:val="0"/>
          <w:numId w:val="14"/>
        </w:numPr>
        <w:tabs>
          <w:tab w:val="clear" w:pos="720"/>
        </w:tabs>
        <w:spacing w:after="240"/>
        <w:ind w:left="426" w:hanging="426"/>
        <w:jc w:val="both"/>
        <w:rPr>
          <w:rFonts w:ascii="GalanoGrotesque-Medium" w:hAnsi="GalanoGrotesque-Medium" w:cs="Arial"/>
        </w:rPr>
      </w:pPr>
      <w:r w:rsidRPr="000B7E06">
        <w:rPr>
          <w:rFonts w:ascii="GalanoGrotesque-Medium" w:hAnsi="GalanoGrotesque-Medium" w:cs="Arial"/>
          <w:b/>
        </w:rPr>
        <w:t>Hacia dónde vamos</w:t>
      </w:r>
    </w:p>
    <w:p w14:paraId="40483288" w14:textId="77777777" w:rsidR="005253F1" w:rsidRPr="00A00313" w:rsidRDefault="005253F1" w:rsidP="00D93B1D">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El incremento anual del nivel de escolaridad en el Estado es sumamente bajo. Se establecerán programas específicos prioritarios e integrales para disminuir la deserción escolar, sobre todo en los niveles de secundaria, preparatoria y estudios profesionales, y con esto incrementar de forma sensible el nivel de escolaridad. Al finalizar este período de gobierno, Michoacán buscará estar en un lugar cercano la media nacional en esta materia. </w:t>
      </w:r>
    </w:p>
    <w:p w14:paraId="2CC7725C" w14:textId="77777777" w:rsidR="005253F1" w:rsidRPr="00A00313" w:rsidRDefault="005253F1" w:rsidP="00D93B1D">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A través de programas federales encaminados a ampliar la calidad, inclusión, y equidad de la población mexicana en el proceso educativo, se </w:t>
      </w:r>
      <w:r w:rsidRPr="00A00313">
        <w:rPr>
          <w:rFonts w:ascii="MyriadPro-Regular" w:hAnsi="MyriadPro-Regular" w:cs="MyriadPro-Regular"/>
          <w:color w:val="414142"/>
          <w:sz w:val="20"/>
          <w:szCs w:val="20"/>
        </w:rPr>
        <w:lastRenderedPageBreak/>
        <w:t>perseguirá mejorar la calidad de la cobertura educativa en el Estado, y ampliar el acceso de los estudiantes a alimentos, actividades culturales, deportivas, recreativas y curriculares que garanticen una formación integral. Asimismo, se dará prioridad a incrementar sustantivamente la participación de la comunidad, padres de familia y demás actores del sector público y privado en el proceso educativo.</w:t>
      </w:r>
    </w:p>
    <w:p w14:paraId="7A7AFCEC" w14:textId="77777777" w:rsidR="005253F1" w:rsidRPr="00A00313" w:rsidRDefault="005253F1" w:rsidP="00D93B1D">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El analfabetismo deberá reducirse de manera paulatina al establecer convenios de coordinación con instancias y entidades federales, que permitan detonar acciones efectivas para atender esta problemática.</w:t>
      </w:r>
    </w:p>
    <w:p w14:paraId="5B45F134" w14:textId="77777777" w:rsidR="005253F1" w:rsidRPr="00A00313" w:rsidRDefault="005253F1" w:rsidP="00D93B1D">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La dimensión de salud demanda fortalecer acciones y mecanismos</w:t>
      </w:r>
      <w:r w:rsidRPr="005253F1">
        <w:rPr>
          <w:rFonts w:ascii="GalanoGrotesque-Medium" w:hAnsi="GalanoGrotesque-Medium" w:cs="Arial"/>
          <w:sz w:val="24"/>
          <w:szCs w:val="24"/>
        </w:rPr>
        <w:t xml:space="preserve"> </w:t>
      </w:r>
      <w:r w:rsidRPr="00A00313">
        <w:rPr>
          <w:rFonts w:ascii="MyriadPro-Regular" w:hAnsi="MyriadPro-Regular" w:cs="MyriadPro-Regular"/>
          <w:color w:val="414142"/>
          <w:sz w:val="20"/>
          <w:szCs w:val="20"/>
        </w:rPr>
        <w:t xml:space="preserve">encaminados a ampliar la cobertura de este servicio en comunidades marginadas, con programas estatales como Médico en tu Casa, que en coordinación con el sistema federal, con la comunidad académica y las autoridades municipales, facilitan y garantizan que los servicios lleguen a las comunidades más alejadas. </w:t>
      </w:r>
    </w:p>
    <w:p w14:paraId="25434151" w14:textId="77777777" w:rsidR="005253F1" w:rsidRPr="00A00313" w:rsidRDefault="005253F1" w:rsidP="00D93B1D">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El abasto de medicamentos seguirá siendo prioridad de atención y monitoreo por parte de esta Administración, gestionando el suministro en tiempo y suficiencia.</w:t>
      </w:r>
    </w:p>
    <w:p w14:paraId="202D89B5" w14:textId="77777777" w:rsidR="005253F1" w:rsidRPr="00A00313" w:rsidRDefault="005253F1" w:rsidP="00D93B1D">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lastRenderedPageBreak/>
        <w:t xml:space="preserve">Invirtiendo en amplios y efectivos programas preventivos y de detección temprana, así como procurando la efectividad de los tratamientos médicos, se buscará disminuir sensiblemente la incidencia y la complicación en los siguientes padecimientos: obesidad, hipertensión, diabetes y afecciones cardiovasculares derivadas, así como enfermedades propias de la mujer. </w:t>
      </w:r>
    </w:p>
    <w:p w14:paraId="0E08B0F6" w14:textId="77777777" w:rsidR="005253F1" w:rsidRPr="00A00313" w:rsidRDefault="005253F1" w:rsidP="00D93B1D">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Debido al incremento de las enfermedades transmitidas por vector (por ejemplo, </w:t>
      </w:r>
      <w:proofErr w:type="spellStart"/>
      <w:r w:rsidRPr="00A00313">
        <w:rPr>
          <w:rFonts w:ascii="MyriadPro-Regular" w:hAnsi="MyriadPro-Regular" w:cs="MyriadPro-Regular"/>
          <w:color w:val="414142"/>
          <w:sz w:val="20"/>
          <w:szCs w:val="20"/>
        </w:rPr>
        <w:t>chikungunya</w:t>
      </w:r>
      <w:proofErr w:type="spellEnd"/>
      <w:r w:rsidRPr="00A00313">
        <w:rPr>
          <w:rFonts w:ascii="MyriadPro-Regular" w:hAnsi="MyriadPro-Regular" w:cs="MyriadPro-Regular"/>
          <w:color w:val="414142"/>
          <w:sz w:val="20"/>
          <w:szCs w:val="20"/>
        </w:rPr>
        <w:t xml:space="preserve">, </w:t>
      </w:r>
      <w:proofErr w:type="spellStart"/>
      <w:r w:rsidRPr="00A00313">
        <w:rPr>
          <w:rFonts w:ascii="MyriadPro-Regular" w:hAnsi="MyriadPro-Regular" w:cs="MyriadPro-Regular"/>
          <w:color w:val="414142"/>
          <w:sz w:val="20"/>
          <w:szCs w:val="20"/>
        </w:rPr>
        <w:t>zika</w:t>
      </w:r>
      <w:proofErr w:type="spellEnd"/>
      <w:r w:rsidRPr="00A00313">
        <w:rPr>
          <w:rFonts w:ascii="MyriadPro-Regular" w:hAnsi="MyriadPro-Regular" w:cs="MyriadPro-Regular"/>
          <w:color w:val="414142"/>
          <w:sz w:val="20"/>
          <w:szCs w:val="20"/>
        </w:rPr>
        <w:t>, dengue, rabia, brucelosis, leptospirosis, entre otras zoonosis), se continuarán fortaleciendo las acciones de prevención, detección, control y manejo de las mismas. Para el caso de los animales de compañía, se emprenderán amplias campañas de esterilización de forma continua y asequible como método de control poblacional, acompañadas de programas educativos para cambiar los hábitos de las personas con respecto a la tenencia responsable, combatir la reproducción incontrolada y abatir el abandono de los animales de compañía, con la participación de la sociedad civil.</w:t>
      </w:r>
    </w:p>
    <w:p w14:paraId="7E79766D" w14:textId="77777777" w:rsidR="00D93B1D" w:rsidRDefault="005253F1" w:rsidP="00D93B1D">
      <w:pPr>
        <w:spacing w:after="160" w:line="240" w:lineRule="auto"/>
        <w:jc w:val="both"/>
        <w:rPr>
          <w:rFonts w:ascii="MyriadPro-Regular" w:hAnsi="MyriadPro-Regular" w:cs="MyriadPro-Regular"/>
          <w:color w:val="414142"/>
          <w:sz w:val="20"/>
          <w:szCs w:val="20"/>
        </w:rPr>
        <w:sectPr w:rsidR="00D93B1D" w:rsidSect="00D93B1D">
          <w:footnotePr>
            <w:numStart w:val="4"/>
          </w:footnotePr>
          <w:pgSz w:w="12240" w:h="15840"/>
          <w:pgMar w:top="1418" w:right="1134" w:bottom="1418" w:left="1134" w:header="709" w:footer="709" w:gutter="0"/>
          <w:cols w:num="2" w:space="567"/>
          <w:docGrid w:linePitch="360"/>
        </w:sectPr>
      </w:pPr>
      <w:r w:rsidRPr="00A00313">
        <w:rPr>
          <w:rFonts w:ascii="MyriadPro-Regular" w:hAnsi="MyriadPro-Regular" w:cs="MyriadPro-Regular"/>
          <w:color w:val="414142"/>
          <w:sz w:val="20"/>
          <w:szCs w:val="20"/>
        </w:rPr>
        <w:t xml:space="preserve">Para lograr lo anterior se plantean los objetivos y estrategias que se muestran en la Tabla 1.3. </w:t>
      </w:r>
    </w:p>
    <w:p w14:paraId="14C1221F" w14:textId="77777777" w:rsidR="005253F1" w:rsidRPr="00A00313" w:rsidRDefault="005253F1" w:rsidP="00D93B1D">
      <w:pPr>
        <w:spacing w:after="160" w:line="240" w:lineRule="auto"/>
        <w:jc w:val="both"/>
        <w:rPr>
          <w:rFonts w:ascii="MyriadPro-Regular" w:hAnsi="MyriadPro-Regular" w:cs="MyriadPro-Regular"/>
          <w:color w:val="414142"/>
          <w:sz w:val="20"/>
          <w:szCs w:val="20"/>
        </w:rPr>
      </w:pPr>
    </w:p>
    <w:p w14:paraId="5046AFBD" w14:textId="77777777" w:rsidR="005253F1" w:rsidRPr="00627843" w:rsidRDefault="005253F1" w:rsidP="00D93B1D">
      <w:pPr>
        <w:spacing w:after="0" w:line="180" w:lineRule="exact"/>
        <w:jc w:val="center"/>
        <w:rPr>
          <w:rFonts w:ascii="MyriadPro-Regular" w:eastAsia="Times New Roman" w:hAnsi="MyriadPro-Regular" w:cs="Arial"/>
          <w:b/>
          <w:sz w:val="20"/>
          <w:szCs w:val="20"/>
          <w:lang w:eastAsia="es-MX"/>
        </w:rPr>
      </w:pPr>
      <w:r w:rsidRPr="00627843">
        <w:rPr>
          <w:rFonts w:ascii="MyriadPro-Regular" w:eastAsia="Times New Roman" w:hAnsi="MyriadPro-Regular" w:cs="Arial"/>
          <w:b/>
          <w:sz w:val="20"/>
          <w:szCs w:val="20"/>
          <w:lang w:eastAsia="es-MX"/>
        </w:rPr>
        <w:t>Tabla 1.3</w:t>
      </w:r>
    </w:p>
    <w:p w14:paraId="42D0D381" w14:textId="77777777" w:rsidR="005253F1" w:rsidRPr="00627843" w:rsidRDefault="005253F1" w:rsidP="00D93B1D">
      <w:pPr>
        <w:spacing w:after="160" w:line="180" w:lineRule="exact"/>
        <w:jc w:val="center"/>
        <w:rPr>
          <w:rFonts w:ascii="MyriadPro-Regular" w:eastAsia="Times New Roman" w:hAnsi="MyriadPro-Regular" w:cs="Arial"/>
          <w:b/>
          <w:sz w:val="20"/>
          <w:szCs w:val="20"/>
          <w:lang w:eastAsia="es-MX"/>
        </w:rPr>
      </w:pPr>
      <w:r w:rsidRPr="00627843">
        <w:rPr>
          <w:rFonts w:ascii="MyriadPro-Regular" w:eastAsia="Times New Roman" w:hAnsi="MyriadPro-Regular" w:cs="Arial"/>
          <w:b/>
          <w:sz w:val="20"/>
          <w:szCs w:val="20"/>
          <w:lang w:eastAsia="es-MX"/>
        </w:rPr>
        <w:t>Objetivos, Líneas Estratégicas y Acciones</w:t>
      </w:r>
    </w:p>
    <w:tbl>
      <w:tblPr>
        <w:tblStyle w:val="Tablaconcuadrcula3"/>
        <w:tblW w:w="9072" w:type="dxa"/>
        <w:jc w:val="center"/>
        <w:tblLook w:val="04A0" w:firstRow="1" w:lastRow="0" w:firstColumn="1" w:lastColumn="0" w:noHBand="0" w:noVBand="1"/>
      </w:tblPr>
      <w:tblGrid>
        <w:gridCol w:w="9072"/>
      </w:tblGrid>
      <w:tr w:rsidR="005253F1" w:rsidRPr="00A8481F" w14:paraId="4D0CD92E" w14:textId="77777777" w:rsidTr="005253F1">
        <w:trPr>
          <w:trHeight w:val="342"/>
          <w:jc w:val="center"/>
        </w:trPr>
        <w:tc>
          <w:tcPr>
            <w:tcW w:w="9072" w:type="dxa"/>
            <w:shd w:val="clear" w:color="auto" w:fill="7E36B4"/>
          </w:tcPr>
          <w:p w14:paraId="604EE0A4" w14:textId="77777777" w:rsidR="005253F1" w:rsidRPr="00627843" w:rsidRDefault="005253F1" w:rsidP="00800F4F">
            <w:pPr>
              <w:rPr>
                <w:rFonts w:ascii="MyriadPro-Regular" w:hAnsi="MyriadPro-Regular" w:cs="Arial"/>
              </w:rPr>
            </w:pPr>
            <w:r w:rsidRPr="00627843">
              <w:rPr>
                <w:rFonts w:ascii="MyriadPro-Regular" w:hAnsi="MyriadPro-Regular" w:cs="Arial"/>
              </w:rPr>
              <w:t>Prioridad 1: Desarrollo humano, educación con calidad y acceso a la salud.</w:t>
            </w:r>
          </w:p>
        </w:tc>
      </w:tr>
      <w:tr w:rsidR="005253F1" w:rsidRPr="00A8481F" w14:paraId="438DC5B8" w14:textId="77777777" w:rsidTr="005253F1">
        <w:trPr>
          <w:trHeight w:val="342"/>
          <w:jc w:val="center"/>
        </w:trPr>
        <w:tc>
          <w:tcPr>
            <w:tcW w:w="9072" w:type="dxa"/>
            <w:shd w:val="clear" w:color="auto" w:fill="7E36B4"/>
          </w:tcPr>
          <w:p w14:paraId="00F49F3E" w14:textId="77777777" w:rsidR="005253F1" w:rsidRPr="00627843" w:rsidRDefault="005253F1" w:rsidP="00800F4F">
            <w:pPr>
              <w:rPr>
                <w:rFonts w:ascii="MyriadPro-Regular" w:hAnsi="MyriadPro-Regular" w:cs="Arial"/>
              </w:rPr>
            </w:pPr>
            <w:r w:rsidRPr="00627843">
              <w:rPr>
                <w:rFonts w:ascii="MyriadPro-Regular" w:hAnsi="MyriadPro-Regular" w:cs="Arial"/>
              </w:rPr>
              <w:t xml:space="preserve">Objetivo </w:t>
            </w:r>
          </w:p>
        </w:tc>
      </w:tr>
      <w:tr w:rsidR="005253F1" w:rsidRPr="00A8481F" w14:paraId="29F23074" w14:textId="77777777" w:rsidTr="005253F1">
        <w:trPr>
          <w:jc w:val="center"/>
        </w:trPr>
        <w:tc>
          <w:tcPr>
            <w:tcW w:w="9072" w:type="dxa"/>
            <w:shd w:val="clear" w:color="auto" w:fill="auto"/>
          </w:tcPr>
          <w:p w14:paraId="30E70687" w14:textId="77777777" w:rsidR="005253F1" w:rsidRPr="00627843" w:rsidRDefault="005253F1" w:rsidP="005253F1">
            <w:pPr>
              <w:numPr>
                <w:ilvl w:val="1"/>
                <w:numId w:val="7"/>
              </w:numPr>
              <w:tabs>
                <w:tab w:val="left" w:pos="2562"/>
              </w:tabs>
              <w:contextualSpacing/>
              <w:rPr>
                <w:rFonts w:ascii="MyriadPro-Regular" w:hAnsi="MyriadPro-Regular" w:cs="Arial"/>
              </w:rPr>
            </w:pPr>
            <w:r w:rsidRPr="00627843">
              <w:rPr>
                <w:rFonts w:ascii="MyriadPro-Regular" w:hAnsi="MyriadPro-Regular" w:cs="Arial"/>
              </w:rPr>
              <w:t xml:space="preserve"> Asegurar el acceso efectivo de la población  a la educación y salud con calidad.</w:t>
            </w:r>
            <w:r w:rsidRPr="00627843">
              <w:rPr>
                <w:rFonts w:ascii="MyriadPro-Regular" w:hAnsi="MyriadPro-Regular" w:cs="Arial"/>
              </w:rPr>
              <w:tab/>
            </w:r>
          </w:p>
        </w:tc>
      </w:tr>
      <w:tr w:rsidR="005253F1" w:rsidRPr="00A8481F" w14:paraId="79602936" w14:textId="77777777" w:rsidTr="005253F1">
        <w:trPr>
          <w:jc w:val="center"/>
        </w:trPr>
        <w:tc>
          <w:tcPr>
            <w:tcW w:w="9072" w:type="dxa"/>
            <w:shd w:val="clear" w:color="auto" w:fill="7E36B4"/>
          </w:tcPr>
          <w:p w14:paraId="4B398996" w14:textId="77777777" w:rsidR="005253F1" w:rsidRPr="00627843" w:rsidRDefault="005253F1" w:rsidP="00800F4F">
            <w:pPr>
              <w:rPr>
                <w:rFonts w:ascii="MyriadPro-Regular" w:hAnsi="MyriadPro-Regular" w:cs="Arial"/>
              </w:rPr>
            </w:pPr>
            <w:r w:rsidRPr="00627843">
              <w:rPr>
                <w:rFonts w:ascii="MyriadPro-Regular" w:hAnsi="MyriadPro-Regular" w:cs="Arial"/>
              </w:rPr>
              <w:t xml:space="preserve">Línea estratégica </w:t>
            </w:r>
          </w:p>
        </w:tc>
      </w:tr>
      <w:tr w:rsidR="005253F1" w:rsidRPr="00A8481F" w14:paraId="76B6E294" w14:textId="77777777" w:rsidTr="005253F1">
        <w:trPr>
          <w:jc w:val="center"/>
        </w:trPr>
        <w:tc>
          <w:tcPr>
            <w:tcW w:w="9072" w:type="dxa"/>
            <w:shd w:val="clear" w:color="auto" w:fill="auto"/>
          </w:tcPr>
          <w:p w14:paraId="791A0821" w14:textId="77777777" w:rsidR="005253F1" w:rsidRPr="00627843" w:rsidRDefault="005253F1" w:rsidP="00800F4F">
            <w:pPr>
              <w:tabs>
                <w:tab w:val="left" w:pos="1443"/>
              </w:tabs>
              <w:ind w:left="525"/>
              <w:contextualSpacing/>
              <w:jc w:val="both"/>
              <w:rPr>
                <w:rFonts w:ascii="MyriadPro-Regular" w:hAnsi="MyriadPro-Regular" w:cs="Arial"/>
              </w:rPr>
            </w:pPr>
            <w:r w:rsidRPr="00627843">
              <w:rPr>
                <w:rFonts w:ascii="MyriadPro-Regular" w:hAnsi="MyriadPro-Regular" w:cs="Arial"/>
              </w:rPr>
              <w:t>1.1.1 Consolidar los servicios y la cobertura eficiente, efectiva y de calidad del Sistema Estatal  de Educación.</w:t>
            </w:r>
          </w:p>
        </w:tc>
      </w:tr>
      <w:tr w:rsidR="005253F1" w:rsidRPr="00A8481F" w14:paraId="08DC3E0D" w14:textId="77777777" w:rsidTr="005253F1">
        <w:trPr>
          <w:jc w:val="center"/>
        </w:trPr>
        <w:tc>
          <w:tcPr>
            <w:tcW w:w="9072" w:type="dxa"/>
            <w:shd w:val="clear" w:color="auto" w:fill="7E36B4"/>
          </w:tcPr>
          <w:p w14:paraId="611F4D10" w14:textId="77777777" w:rsidR="005253F1" w:rsidRPr="00627843" w:rsidRDefault="005253F1" w:rsidP="00800F4F">
            <w:pPr>
              <w:rPr>
                <w:rFonts w:ascii="MyriadPro-Regular" w:hAnsi="MyriadPro-Regular" w:cs="Arial"/>
              </w:rPr>
            </w:pPr>
            <w:r w:rsidRPr="00627843">
              <w:rPr>
                <w:rFonts w:ascii="MyriadPro-Regular" w:hAnsi="MyriadPro-Regular" w:cs="Arial"/>
              </w:rPr>
              <w:t>Acciones</w:t>
            </w:r>
          </w:p>
        </w:tc>
      </w:tr>
      <w:tr w:rsidR="005253F1" w:rsidRPr="00A8481F" w14:paraId="6BF71B1F" w14:textId="77777777" w:rsidTr="005253F1">
        <w:trPr>
          <w:jc w:val="center"/>
        </w:trPr>
        <w:tc>
          <w:tcPr>
            <w:tcW w:w="9072" w:type="dxa"/>
            <w:shd w:val="clear" w:color="auto" w:fill="auto"/>
          </w:tcPr>
          <w:p w14:paraId="04452708" w14:textId="77777777" w:rsidR="005253F1" w:rsidRPr="00627843" w:rsidRDefault="005253F1" w:rsidP="00800F4F">
            <w:pPr>
              <w:tabs>
                <w:tab w:val="left" w:pos="884"/>
              </w:tabs>
              <w:ind w:left="1452" w:hanging="567"/>
              <w:contextualSpacing/>
              <w:jc w:val="both"/>
              <w:rPr>
                <w:rFonts w:ascii="MyriadPro-Regular" w:hAnsi="MyriadPro-Regular" w:cs="Arial"/>
              </w:rPr>
            </w:pPr>
            <w:r w:rsidRPr="00627843">
              <w:rPr>
                <w:rFonts w:ascii="MyriadPro-Regular" w:hAnsi="MyriadPro-Regular" w:cs="Arial"/>
              </w:rPr>
              <w:t>1.1.1.1 Promover la calidad de la educación, incorporando la nutrición, la medicina preventiva y el transporte como elementos esenciales para su éxito.</w:t>
            </w:r>
          </w:p>
        </w:tc>
      </w:tr>
      <w:tr w:rsidR="005253F1" w:rsidRPr="00A8481F" w14:paraId="6486529A" w14:textId="77777777" w:rsidTr="005253F1">
        <w:trPr>
          <w:jc w:val="center"/>
        </w:trPr>
        <w:tc>
          <w:tcPr>
            <w:tcW w:w="9072" w:type="dxa"/>
            <w:shd w:val="clear" w:color="auto" w:fill="auto"/>
          </w:tcPr>
          <w:p w14:paraId="01D85D77"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 xml:space="preserve">1.1.1.2 Promover activamente la participación de la sociedad en la política educativa del Estado, involucrando a los padres de familia al proceso educativo de sus hijos mediante el programa “Escuela para Padres”. </w:t>
            </w:r>
          </w:p>
        </w:tc>
      </w:tr>
      <w:tr w:rsidR="005253F1" w:rsidRPr="00A8481F" w14:paraId="17F562AE" w14:textId="77777777" w:rsidTr="005253F1">
        <w:trPr>
          <w:jc w:val="center"/>
        </w:trPr>
        <w:tc>
          <w:tcPr>
            <w:tcW w:w="9072" w:type="dxa"/>
            <w:shd w:val="clear" w:color="auto" w:fill="auto"/>
          </w:tcPr>
          <w:p w14:paraId="101BDCE1" w14:textId="77777777" w:rsidR="005253F1" w:rsidRPr="00627843" w:rsidRDefault="005253F1" w:rsidP="00800F4F">
            <w:pPr>
              <w:ind w:left="1452" w:hanging="567"/>
              <w:contextualSpacing/>
              <w:jc w:val="both"/>
              <w:rPr>
                <w:rFonts w:ascii="MyriadPro-Regular" w:hAnsi="MyriadPro-Regular" w:cs="Arial"/>
              </w:rPr>
            </w:pPr>
            <w:r w:rsidRPr="00627843">
              <w:rPr>
                <w:rFonts w:ascii="MyriadPro-Regular" w:hAnsi="MyriadPro-Regular" w:cs="Arial"/>
              </w:rPr>
              <w:t>1.1.1.3 Vincular la salud y la educación al sistema estatal de educación artística y cultural.</w:t>
            </w:r>
          </w:p>
        </w:tc>
      </w:tr>
      <w:tr w:rsidR="005253F1" w:rsidRPr="00A8481F" w14:paraId="53F7EB54" w14:textId="77777777" w:rsidTr="005253F1">
        <w:trPr>
          <w:jc w:val="center"/>
        </w:trPr>
        <w:tc>
          <w:tcPr>
            <w:tcW w:w="9072" w:type="dxa"/>
            <w:shd w:val="clear" w:color="auto" w:fill="auto"/>
          </w:tcPr>
          <w:p w14:paraId="3BD776DE" w14:textId="77777777" w:rsidR="005253F1" w:rsidRPr="00627843" w:rsidRDefault="005253F1" w:rsidP="00800F4F">
            <w:pPr>
              <w:ind w:left="1452" w:hanging="567"/>
              <w:rPr>
                <w:rFonts w:ascii="MyriadPro-Regular" w:hAnsi="MyriadPro-Regular" w:cs="Arial"/>
              </w:rPr>
            </w:pPr>
            <w:r w:rsidRPr="00627843">
              <w:rPr>
                <w:rFonts w:ascii="MyriadPro-Regular" w:hAnsi="MyriadPro-Regular" w:cs="Arial"/>
              </w:rPr>
              <w:t>1.1.1.4 Fortalecer la enseñanza del idioma inglés en las escuelas primarias del Estado.</w:t>
            </w:r>
          </w:p>
        </w:tc>
      </w:tr>
      <w:tr w:rsidR="005253F1" w:rsidRPr="00A8481F" w14:paraId="06385B0F" w14:textId="77777777" w:rsidTr="005253F1">
        <w:trPr>
          <w:jc w:val="center"/>
        </w:trPr>
        <w:tc>
          <w:tcPr>
            <w:tcW w:w="9072" w:type="dxa"/>
            <w:shd w:val="clear" w:color="auto" w:fill="7E36B4"/>
          </w:tcPr>
          <w:p w14:paraId="690BD6B2" w14:textId="77777777" w:rsidR="005253F1" w:rsidRPr="00627843" w:rsidRDefault="005253F1" w:rsidP="00800F4F">
            <w:pPr>
              <w:rPr>
                <w:rFonts w:ascii="MyriadPro-Regular" w:hAnsi="MyriadPro-Regular" w:cs="Arial"/>
              </w:rPr>
            </w:pPr>
            <w:r w:rsidRPr="00627843">
              <w:rPr>
                <w:rFonts w:ascii="MyriadPro-Regular" w:hAnsi="MyriadPro-Regular" w:cs="Arial"/>
              </w:rPr>
              <w:t xml:space="preserve">Línea estratégica </w:t>
            </w:r>
          </w:p>
        </w:tc>
      </w:tr>
      <w:tr w:rsidR="005253F1" w:rsidRPr="00A8481F" w14:paraId="0C9F1441" w14:textId="77777777" w:rsidTr="005253F1">
        <w:trPr>
          <w:jc w:val="center"/>
        </w:trPr>
        <w:tc>
          <w:tcPr>
            <w:tcW w:w="9072" w:type="dxa"/>
            <w:shd w:val="clear" w:color="auto" w:fill="auto"/>
          </w:tcPr>
          <w:p w14:paraId="3B0A139C" w14:textId="77777777" w:rsidR="005253F1" w:rsidRPr="00627843" w:rsidRDefault="005253F1" w:rsidP="00800F4F">
            <w:pPr>
              <w:ind w:left="1311" w:hanging="709"/>
              <w:rPr>
                <w:rFonts w:ascii="MyriadPro-Regular" w:hAnsi="MyriadPro-Regular" w:cs="Arial"/>
              </w:rPr>
            </w:pPr>
            <w:r w:rsidRPr="00627843">
              <w:rPr>
                <w:rFonts w:ascii="MyriadPro-Regular" w:hAnsi="MyriadPro-Regular" w:cs="Arial"/>
              </w:rPr>
              <w:t>1.1.2   Garantizar una cobertura efectiva y eficiente de los servicios de salud en el Estado.</w:t>
            </w:r>
          </w:p>
        </w:tc>
      </w:tr>
      <w:tr w:rsidR="005253F1" w:rsidRPr="00A8481F" w14:paraId="0B915D16" w14:textId="77777777" w:rsidTr="005253F1">
        <w:trPr>
          <w:jc w:val="center"/>
        </w:trPr>
        <w:tc>
          <w:tcPr>
            <w:tcW w:w="9072" w:type="dxa"/>
            <w:shd w:val="clear" w:color="auto" w:fill="7E36B4"/>
          </w:tcPr>
          <w:p w14:paraId="4DD8A727" w14:textId="77777777" w:rsidR="005253F1" w:rsidRPr="00627843" w:rsidRDefault="005253F1" w:rsidP="00800F4F">
            <w:pPr>
              <w:rPr>
                <w:rFonts w:ascii="MyriadPro-Regular" w:hAnsi="MyriadPro-Regular" w:cs="Arial"/>
              </w:rPr>
            </w:pPr>
            <w:r w:rsidRPr="00627843">
              <w:rPr>
                <w:rFonts w:ascii="MyriadPro-Regular" w:hAnsi="MyriadPro-Regular" w:cs="Arial"/>
              </w:rPr>
              <w:t>Acciones</w:t>
            </w:r>
          </w:p>
        </w:tc>
      </w:tr>
      <w:tr w:rsidR="005253F1" w:rsidRPr="00A8481F" w14:paraId="19657756" w14:textId="77777777" w:rsidTr="005253F1">
        <w:trPr>
          <w:jc w:val="center"/>
        </w:trPr>
        <w:tc>
          <w:tcPr>
            <w:tcW w:w="9072" w:type="dxa"/>
            <w:shd w:val="clear" w:color="auto" w:fill="auto"/>
          </w:tcPr>
          <w:p w14:paraId="62ACC744"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1.1.2.1 Asegurar el abasto de medicamentos y materiales de curación.</w:t>
            </w:r>
          </w:p>
        </w:tc>
      </w:tr>
      <w:tr w:rsidR="005253F1" w:rsidRPr="00A8481F" w14:paraId="664DE2B3" w14:textId="77777777" w:rsidTr="005253F1">
        <w:trPr>
          <w:jc w:val="center"/>
        </w:trPr>
        <w:tc>
          <w:tcPr>
            <w:tcW w:w="9072" w:type="dxa"/>
            <w:shd w:val="clear" w:color="auto" w:fill="auto"/>
          </w:tcPr>
          <w:p w14:paraId="649FECD7"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1.1.2.2 Promover activamente la prevención y detección temprana del cáncer.</w:t>
            </w:r>
          </w:p>
        </w:tc>
      </w:tr>
      <w:tr w:rsidR="005253F1" w:rsidRPr="00A8481F" w14:paraId="4DB57D98" w14:textId="77777777" w:rsidTr="005253F1">
        <w:trPr>
          <w:jc w:val="center"/>
        </w:trPr>
        <w:tc>
          <w:tcPr>
            <w:tcW w:w="9072" w:type="dxa"/>
            <w:shd w:val="clear" w:color="auto" w:fill="auto"/>
          </w:tcPr>
          <w:p w14:paraId="54FECAC3"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1.1.2.3 Implementar en forma prioritaria  programas de prevención y tratamiento efectivo de  las enfermedades crónico-degenerativas.</w:t>
            </w:r>
          </w:p>
        </w:tc>
      </w:tr>
      <w:tr w:rsidR="005253F1" w:rsidRPr="00A8481F" w14:paraId="06FED87C" w14:textId="77777777" w:rsidTr="005253F1">
        <w:trPr>
          <w:jc w:val="center"/>
        </w:trPr>
        <w:tc>
          <w:tcPr>
            <w:tcW w:w="9072" w:type="dxa"/>
            <w:shd w:val="clear" w:color="auto" w:fill="auto"/>
          </w:tcPr>
          <w:p w14:paraId="46A0197E"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lastRenderedPageBreak/>
              <w:t>1.1.2.4 Acreditar al personal médico y capacitar al personal de apoyo para brindar una atención de calidad y de respeto a los pacientes, con especial énfasis en los servicios de atención a víctimas de delitos sexuales.</w:t>
            </w:r>
          </w:p>
        </w:tc>
      </w:tr>
      <w:tr w:rsidR="005253F1" w:rsidRPr="00A8481F" w14:paraId="64EEAFA9" w14:textId="77777777" w:rsidTr="005253F1">
        <w:trPr>
          <w:jc w:val="center"/>
        </w:trPr>
        <w:tc>
          <w:tcPr>
            <w:tcW w:w="9072" w:type="dxa"/>
            <w:shd w:val="clear" w:color="auto" w:fill="auto"/>
          </w:tcPr>
          <w:p w14:paraId="79C3BB20"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1.1.2.5 Prevenir las enfermedades transmisibles de zoonosis mediante campañas amplias, permanentes y asequibles, como método de control de la población de animales de compañía.</w:t>
            </w:r>
          </w:p>
        </w:tc>
      </w:tr>
      <w:tr w:rsidR="005253F1" w:rsidRPr="00A8481F" w14:paraId="2E69DF5C" w14:textId="77777777" w:rsidTr="005253F1">
        <w:trPr>
          <w:jc w:val="center"/>
        </w:trPr>
        <w:tc>
          <w:tcPr>
            <w:tcW w:w="9072" w:type="dxa"/>
            <w:shd w:val="clear" w:color="auto" w:fill="auto"/>
          </w:tcPr>
          <w:p w14:paraId="33D5DC1C" w14:textId="77777777" w:rsidR="005253F1" w:rsidRPr="00627843" w:rsidRDefault="005253F1" w:rsidP="00800F4F">
            <w:pPr>
              <w:tabs>
                <w:tab w:val="left" w:pos="893"/>
              </w:tabs>
              <w:ind w:left="1452" w:hanging="567"/>
              <w:contextualSpacing/>
              <w:jc w:val="both"/>
              <w:rPr>
                <w:rFonts w:ascii="MyriadPro-Regular" w:hAnsi="MyriadPro-Regular" w:cs="Arial"/>
              </w:rPr>
            </w:pPr>
            <w:r w:rsidRPr="00627843">
              <w:rPr>
                <w:rFonts w:ascii="MyriadPro-Regular" w:hAnsi="MyriadPro-Regular" w:cs="Arial"/>
              </w:rPr>
              <w:t>1.1.2.6  Aplicar el programa “Médico en tu Casa” y asegurar su implementación en las  zonas donde se ubican las personas en situación de pobreza.</w:t>
            </w:r>
          </w:p>
        </w:tc>
      </w:tr>
      <w:tr w:rsidR="005253F1" w:rsidRPr="00A8481F" w14:paraId="63E16833" w14:textId="77777777" w:rsidTr="005253F1">
        <w:trPr>
          <w:jc w:val="center"/>
        </w:trPr>
        <w:tc>
          <w:tcPr>
            <w:tcW w:w="9072" w:type="dxa"/>
            <w:shd w:val="clear" w:color="auto" w:fill="auto"/>
          </w:tcPr>
          <w:p w14:paraId="2EAAA750" w14:textId="77777777" w:rsidR="005253F1" w:rsidRPr="00627843" w:rsidRDefault="005253F1" w:rsidP="00800F4F">
            <w:pPr>
              <w:ind w:left="1452" w:hanging="567"/>
              <w:contextualSpacing/>
              <w:jc w:val="both"/>
              <w:rPr>
                <w:rFonts w:ascii="MyriadPro-Regular" w:hAnsi="MyriadPro-Regular" w:cs="Arial"/>
              </w:rPr>
            </w:pPr>
            <w:r w:rsidRPr="00627843">
              <w:rPr>
                <w:rFonts w:ascii="MyriadPro-Regular" w:hAnsi="MyriadPro-Regular" w:cs="Arial"/>
              </w:rPr>
              <w:t>1.1.2.7 Proporcionar atención médica y psicológica en las escuelas de nivel básico y medio superior y ampliar estos servicios a las familias de los estudiantes</w:t>
            </w:r>
          </w:p>
        </w:tc>
      </w:tr>
      <w:tr w:rsidR="005253F1" w:rsidRPr="00A8481F" w14:paraId="6CCC35BF" w14:textId="77777777" w:rsidTr="005253F1">
        <w:trPr>
          <w:jc w:val="center"/>
        </w:trPr>
        <w:tc>
          <w:tcPr>
            <w:tcW w:w="9072" w:type="dxa"/>
            <w:shd w:val="clear" w:color="auto" w:fill="auto"/>
          </w:tcPr>
          <w:p w14:paraId="596758F3" w14:textId="77777777" w:rsidR="005253F1" w:rsidRPr="00627843" w:rsidRDefault="005253F1" w:rsidP="00800F4F">
            <w:pPr>
              <w:ind w:left="1452" w:hanging="567"/>
              <w:contextualSpacing/>
              <w:jc w:val="both"/>
              <w:rPr>
                <w:rFonts w:ascii="MyriadPro-Regular" w:hAnsi="MyriadPro-Regular" w:cs="Arial"/>
              </w:rPr>
            </w:pPr>
            <w:r w:rsidRPr="00627843">
              <w:rPr>
                <w:rFonts w:ascii="MyriadPro-Regular" w:hAnsi="MyriadPro-Regular" w:cs="Arial"/>
              </w:rPr>
              <w:t>1.1.2.8 Fortalecer la infraestructura de salud en el Estado tanto con inversión directa como con esquemas de participación del sector privado.</w:t>
            </w:r>
          </w:p>
        </w:tc>
      </w:tr>
      <w:tr w:rsidR="005253F1" w:rsidRPr="00A8481F" w14:paraId="5D92BDCC" w14:textId="77777777" w:rsidTr="005253F1">
        <w:trPr>
          <w:jc w:val="center"/>
        </w:trPr>
        <w:tc>
          <w:tcPr>
            <w:tcW w:w="9072" w:type="dxa"/>
            <w:shd w:val="clear" w:color="auto" w:fill="auto"/>
          </w:tcPr>
          <w:p w14:paraId="7136C78F" w14:textId="77777777" w:rsidR="005253F1" w:rsidRPr="00627843" w:rsidRDefault="005253F1" w:rsidP="00800F4F">
            <w:pPr>
              <w:ind w:left="1452" w:hanging="567"/>
              <w:contextualSpacing/>
              <w:jc w:val="both"/>
              <w:rPr>
                <w:rFonts w:ascii="MyriadPro-Regular" w:hAnsi="MyriadPro-Regular" w:cs="Arial"/>
              </w:rPr>
            </w:pPr>
            <w:r w:rsidRPr="00627843">
              <w:rPr>
                <w:rFonts w:ascii="MyriadPro-Regular" w:hAnsi="MyriadPro-Regular" w:cs="Arial"/>
              </w:rPr>
              <w:t>1.1.2.9 Fortalecer la infraestructura y servicios de salud  para tener una mayor cobertura en las localidades con mayor pobreza.</w:t>
            </w:r>
          </w:p>
        </w:tc>
      </w:tr>
      <w:tr w:rsidR="005253F1" w:rsidRPr="00A8481F" w14:paraId="3CE33C96" w14:textId="77777777" w:rsidTr="005253F1">
        <w:trPr>
          <w:jc w:val="center"/>
        </w:trPr>
        <w:tc>
          <w:tcPr>
            <w:tcW w:w="9072" w:type="dxa"/>
            <w:shd w:val="clear" w:color="auto" w:fill="auto"/>
          </w:tcPr>
          <w:p w14:paraId="618816E5" w14:textId="77777777" w:rsidR="005253F1" w:rsidRPr="00627843" w:rsidRDefault="005253F1" w:rsidP="00800F4F">
            <w:pPr>
              <w:ind w:left="1452" w:hanging="567"/>
              <w:contextualSpacing/>
              <w:jc w:val="both"/>
              <w:rPr>
                <w:rFonts w:ascii="MyriadPro-Regular" w:hAnsi="MyriadPro-Regular" w:cs="Arial"/>
              </w:rPr>
            </w:pPr>
            <w:r w:rsidRPr="00627843">
              <w:rPr>
                <w:rFonts w:ascii="MyriadPro-Regular" w:hAnsi="MyriadPro-Regular" w:cs="Arial"/>
              </w:rPr>
              <w:t xml:space="preserve">1.1.2.10 Asegurar el acceso a la salud digna y de calidad con una atención médica libre de  discriminación, violencia física y psicológica hacia los pacientes.  </w:t>
            </w:r>
          </w:p>
        </w:tc>
      </w:tr>
      <w:tr w:rsidR="005253F1" w:rsidRPr="00A8481F" w14:paraId="0C3CA19F" w14:textId="77777777" w:rsidTr="005253F1">
        <w:trPr>
          <w:jc w:val="center"/>
        </w:trPr>
        <w:tc>
          <w:tcPr>
            <w:tcW w:w="9072" w:type="dxa"/>
            <w:shd w:val="clear" w:color="auto" w:fill="7030A0"/>
          </w:tcPr>
          <w:p w14:paraId="749827D2" w14:textId="77777777" w:rsidR="005253F1" w:rsidRPr="00627843" w:rsidRDefault="005253F1" w:rsidP="00800F4F">
            <w:pPr>
              <w:jc w:val="both"/>
              <w:rPr>
                <w:rFonts w:ascii="MyriadPro-Regular" w:hAnsi="MyriadPro-Regular" w:cs="Arial"/>
              </w:rPr>
            </w:pPr>
            <w:r w:rsidRPr="00627843">
              <w:rPr>
                <w:rFonts w:ascii="MyriadPro-Regular" w:hAnsi="MyriadPro-Regular" w:cs="Arial"/>
              </w:rPr>
              <w:t>Línea estratégica</w:t>
            </w:r>
          </w:p>
        </w:tc>
      </w:tr>
      <w:tr w:rsidR="005253F1" w:rsidRPr="00A8481F" w14:paraId="624C5947" w14:textId="77777777" w:rsidTr="005253F1">
        <w:trPr>
          <w:jc w:val="center"/>
        </w:trPr>
        <w:tc>
          <w:tcPr>
            <w:tcW w:w="9072" w:type="dxa"/>
            <w:shd w:val="clear" w:color="auto" w:fill="auto"/>
          </w:tcPr>
          <w:p w14:paraId="0D110DD5"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 xml:space="preserve">1.1.3 Promover, impulsar y fortalecer una educación científica, tecnológica, deportiva y cultural. </w:t>
            </w:r>
          </w:p>
        </w:tc>
      </w:tr>
      <w:tr w:rsidR="005253F1" w:rsidRPr="00A8481F" w14:paraId="634112BE" w14:textId="77777777" w:rsidTr="005253F1">
        <w:trPr>
          <w:jc w:val="center"/>
        </w:trPr>
        <w:tc>
          <w:tcPr>
            <w:tcW w:w="9072" w:type="dxa"/>
            <w:shd w:val="clear" w:color="auto" w:fill="7030A0"/>
          </w:tcPr>
          <w:p w14:paraId="2609DBC6" w14:textId="77777777" w:rsidR="005253F1" w:rsidRPr="00627843" w:rsidRDefault="005253F1" w:rsidP="00800F4F">
            <w:pPr>
              <w:jc w:val="both"/>
              <w:rPr>
                <w:rFonts w:ascii="MyriadPro-Regular" w:hAnsi="MyriadPro-Regular" w:cs="Arial"/>
              </w:rPr>
            </w:pPr>
            <w:r w:rsidRPr="00627843">
              <w:rPr>
                <w:rFonts w:ascii="MyriadPro-Regular" w:hAnsi="MyriadPro-Regular" w:cs="Arial"/>
              </w:rPr>
              <w:t>Acciones</w:t>
            </w:r>
          </w:p>
        </w:tc>
      </w:tr>
      <w:tr w:rsidR="005253F1" w:rsidRPr="00A8481F" w14:paraId="06D12181" w14:textId="77777777" w:rsidTr="005253F1">
        <w:trPr>
          <w:jc w:val="center"/>
        </w:trPr>
        <w:tc>
          <w:tcPr>
            <w:tcW w:w="9072" w:type="dxa"/>
            <w:shd w:val="clear" w:color="auto" w:fill="auto"/>
          </w:tcPr>
          <w:p w14:paraId="5278FEBB"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1.1.3.1 Promover y difundir el arte y la cultura como recursos formativos para impulsar la educación integral y el combate a la violencia.</w:t>
            </w:r>
          </w:p>
        </w:tc>
      </w:tr>
      <w:tr w:rsidR="005253F1" w:rsidRPr="00A8481F" w14:paraId="17FACF92" w14:textId="77777777" w:rsidTr="005253F1">
        <w:trPr>
          <w:jc w:val="center"/>
        </w:trPr>
        <w:tc>
          <w:tcPr>
            <w:tcW w:w="9072" w:type="dxa"/>
            <w:shd w:val="clear" w:color="auto" w:fill="auto"/>
          </w:tcPr>
          <w:p w14:paraId="1FFF15FA"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1.1.3.2 Fortalecer la práctica de actividades físicas y deportivas como un componente de la educación integral y de la salud pública.</w:t>
            </w:r>
          </w:p>
        </w:tc>
      </w:tr>
      <w:tr w:rsidR="005253F1" w:rsidRPr="00A8481F" w14:paraId="0936DB51" w14:textId="77777777" w:rsidTr="005253F1">
        <w:trPr>
          <w:jc w:val="center"/>
        </w:trPr>
        <w:tc>
          <w:tcPr>
            <w:tcW w:w="9072" w:type="dxa"/>
            <w:shd w:val="clear" w:color="auto" w:fill="auto"/>
          </w:tcPr>
          <w:p w14:paraId="0BF9CCEA"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1.1.3.3 Disminuir la deserción escolar en los niveles de secundaria y preparatoria, mediante el otorgamiento de becas escolares y otros apoyos como son el transporte escolar en el Estado.</w:t>
            </w:r>
          </w:p>
        </w:tc>
      </w:tr>
      <w:tr w:rsidR="005253F1" w:rsidRPr="00A8481F" w14:paraId="452FCFC7" w14:textId="77777777" w:rsidTr="005253F1">
        <w:trPr>
          <w:jc w:val="center"/>
        </w:trPr>
        <w:tc>
          <w:tcPr>
            <w:tcW w:w="9072" w:type="dxa"/>
            <w:shd w:val="clear" w:color="auto" w:fill="auto"/>
          </w:tcPr>
          <w:p w14:paraId="18886FA5"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1.1.3.4 Impulsar la educación matemática, científica y tecnológica como elemento indispensable para la transformación del Estado en una sociedad del conocimiento.</w:t>
            </w:r>
          </w:p>
        </w:tc>
      </w:tr>
      <w:tr w:rsidR="005253F1" w:rsidRPr="00A8481F" w14:paraId="5E996B78" w14:textId="77777777" w:rsidTr="005253F1">
        <w:trPr>
          <w:jc w:val="center"/>
        </w:trPr>
        <w:tc>
          <w:tcPr>
            <w:tcW w:w="9072" w:type="dxa"/>
            <w:shd w:val="clear" w:color="auto" w:fill="auto"/>
          </w:tcPr>
          <w:p w14:paraId="5642E008"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1.1.3.5 Adecuar, crear y ampliar la oferta educativa con el fin de facilitar la inserción de los egresados en el ámbito laboral.</w:t>
            </w:r>
          </w:p>
        </w:tc>
      </w:tr>
      <w:tr w:rsidR="005253F1" w:rsidRPr="00A8481F" w14:paraId="6C67E9B2" w14:textId="77777777" w:rsidTr="005253F1">
        <w:trPr>
          <w:jc w:val="center"/>
        </w:trPr>
        <w:tc>
          <w:tcPr>
            <w:tcW w:w="9072" w:type="dxa"/>
            <w:shd w:val="clear" w:color="auto" w:fill="auto"/>
          </w:tcPr>
          <w:p w14:paraId="3EBCCF42" w14:textId="77777777" w:rsidR="005253F1" w:rsidRPr="00627843" w:rsidRDefault="005253F1" w:rsidP="00800F4F">
            <w:pPr>
              <w:ind w:left="1452" w:hanging="567"/>
              <w:contextualSpacing/>
              <w:jc w:val="both"/>
              <w:rPr>
                <w:rFonts w:ascii="MyriadPro-Regular" w:hAnsi="MyriadPro-Regular" w:cs="Arial"/>
              </w:rPr>
            </w:pPr>
            <w:r w:rsidRPr="00627843">
              <w:rPr>
                <w:rFonts w:ascii="MyriadPro-Regular" w:hAnsi="MyriadPro-Regular" w:cs="Arial"/>
              </w:rPr>
              <w:t>1.1.3.6 Fortalecer las Casas de Cultura en los municipios e incorporar a las escuelas como centros culturales y deportivos comunitarios a la agenda cultural del Estado.</w:t>
            </w:r>
          </w:p>
        </w:tc>
      </w:tr>
      <w:tr w:rsidR="005253F1" w:rsidRPr="00A8481F" w14:paraId="0508A270" w14:textId="77777777" w:rsidTr="005253F1">
        <w:trPr>
          <w:jc w:val="center"/>
        </w:trPr>
        <w:tc>
          <w:tcPr>
            <w:tcW w:w="9072" w:type="dxa"/>
            <w:shd w:val="clear" w:color="auto" w:fill="auto"/>
          </w:tcPr>
          <w:p w14:paraId="697D3FE2" w14:textId="77777777" w:rsidR="005253F1" w:rsidRPr="00627843" w:rsidRDefault="005253F1" w:rsidP="00800F4F">
            <w:pPr>
              <w:ind w:left="1452" w:hanging="567"/>
              <w:contextualSpacing/>
              <w:jc w:val="both"/>
              <w:rPr>
                <w:rFonts w:ascii="MyriadPro-Regular" w:hAnsi="MyriadPro-Regular" w:cs="Arial"/>
              </w:rPr>
            </w:pPr>
            <w:r w:rsidRPr="00627843">
              <w:rPr>
                <w:rFonts w:ascii="MyriadPro-Regular" w:hAnsi="MyriadPro-Regular" w:cs="Arial"/>
              </w:rPr>
              <w:t>1.1.3.7 Aprovechar los espacios escolares de educación básica, universidades públicas e instituciones de educación superior para ampliar la infraestructura deportiva al servicio de la población michoacana.</w:t>
            </w:r>
          </w:p>
        </w:tc>
      </w:tr>
      <w:tr w:rsidR="005253F1" w:rsidRPr="00A8481F" w14:paraId="064A7E2B" w14:textId="77777777" w:rsidTr="005253F1">
        <w:trPr>
          <w:jc w:val="center"/>
        </w:trPr>
        <w:tc>
          <w:tcPr>
            <w:tcW w:w="9072" w:type="dxa"/>
            <w:shd w:val="clear" w:color="auto" w:fill="7030A0"/>
          </w:tcPr>
          <w:p w14:paraId="374C544A" w14:textId="77777777" w:rsidR="005253F1" w:rsidRPr="00627843" w:rsidRDefault="005253F1" w:rsidP="00800F4F">
            <w:pPr>
              <w:rPr>
                <w:rFonts w:ascii="MyriadPro-Regular" w:hAnsi="MyriadPro-Regular" w:cs="Arial"/>
              </w:rPr>
            </w:pPr>
            <w:r w:rsidRPr="00627843">
              <w:rPr>
                <w:rFonts w:ascii="MyriadPro-Regular" w:hAnsi="MyriadPro-Regular" w:cs="Arial"/>
              </w:rPr>
              <w:t>Objetivo</w:t>
            </w:r>
          </w:p>
        </w:tc>
      </w:tr>
      <w:tr w:rsidR="005253F1" w:rsidRPr="00A8481F" w14:paraId="3825E55A" w14:textId="77777777" w:rsidTr="005253F1">
        <w:trPr>
          <w:jc w:val="center"/>
        </w:trPr>
        <w:tc>
          <w:tcPr>
            <w:tcW w:w="9072" w:type="dxa"/>
            <w:shd w:val="clear" w:color="auto" w:fill="auto"/>
          </w:tcPr>
          <w:p w14:paraId="72D6DE95" w14:textId="77777777" w:rsidR="005253F1" w:rsidRPr="00627843" w:rsidRDefault="005253F1" w:rsidP="00800F4F">
            <w:pPr>
              <w:ind w:left="487" w:hanging="487"/>
              <w:jc w:val="both"/>
              <w:rPr>
                <w:rFonts w:ascii="MyriadPro-Regular" w:hAnsi="MyriadPro-Regular" w:cs="Arial"/>
              </w:rPr>
            </w:pPr>
            <w:r w:rsidRPr="00627843">
              <w:rPr>
                <w:rFonts w:ascii="MyriadPro-Regular" w:hAnsi="MyriadPro-Regular" w:cs="Arial"/>
              </w:rPr>
              <w:t>1.2  Fortalecer los sistemas estatales de salud y educación para elevar su eficiencia y cobertura.</w:t>
            </w:r>
          </w:p>
        </w:tc>
      </w:tr>
      <w:tr w:rsidR="005253F1" w:rsidRPr="00A8481F" w14:paraId="46E0E919" w14:textId="77777777" w:rsidTr="005253F1">
        <w:trPr>
          <w:jc w:val="center"/>
        </w:trPr>
        <w:tc>
          <w:tcPr>
            <w:tcW w:w="9072" w:type="dxa"/>
            <w:shd w:val="clear" w:color="auto" w:fill="7E36B4"/>
          </w:tcPr>
          <w:p w14:paraId="20DC84D7" w14:textId="77777777" w:rsidR="005253F1" w:rsidRPr="00627843" w:rsidRDefault="005253F1" w:rsidP="00800F4F">
            <w:pPr>
              <w:rPr>
                <w:rFonts w:ascii="MyriadPro-Regular" w:hAnsi="MyriadPro-Regular" w:cs="Arial"/>
              </w:rPr>
            </w:pPr>
            <w:r w:rsidRPr="00627843">
              <w:rPr>
                <w:rFonts w:ascii="MyriadPro-Regular" w:hAnsi="MyriadPro-Regular" w:cs="Arial"/>
              </w:rPr>
              <w:t>Línea estratégica</w:t>
            </w:r>
          </w:p>
        </w:tc>
      </w:tr>
      <w:tr w:rsidR="005253F1" w:rsidRPr="00A8481F" w14:paraId="6F8EA1F9" w14:textId="77777777" w:rsidTr="005253F1">
        <w:trPr>
          <w:jc w:val="center"/>
        </w:trPr>
        <w:tc>
          <w:tcPr>
            <w:tcW w:w="9072" w:type="dxa"/>
            <w:shd w:val="clear" w:color="auto" w:fill="auto"/>
          </w:tcPr>
          <w:p w14:paraId="3D5B3860" w14:textId="77777777" w:rsidR="005253F1" w:rsidRPr="00627843" w:rsidRDefault="005253F1" w:rsidP="00800F4F">
            <w:pPr>
              <w:ind w:left="487"/>
              <w:rPr>
                <w:rFonts w:ascii="MyriadPro-Regular" w:hAnsi="MyriadPro-Regular" w:cs="Arial"/>
              </w:rPr>
            </w:pPr>
            <w:r w:rsidRPr="00627843">
              <w:rPr>
                <w:rFonts w:ascii="MyriadPro-Regular" w:hAnsi="MyriadPro-Regular" w:cs="Arial"/>
              </w:rPr>
              <w:t>1.2.1 Modernizar los servicios de educación y salud en el Estado.</w:t>
            </w:r>
          </w:p>
        </w:tc>
      </w:tr>
      <w:tr w:rsidR="005253F1" w:rsidRPr="00A8481F" w14:paraId="76CAA247" w14:textId="77777777" w:rsidTr="005253F1">
        <w:trPr>
          <w:jc w:val="center"/>
        </w:trPr>
        <w:tc>
          <w:tcPr>
            <w:tcW w:w="9072" w:type="dxa"/>
            <w:shd w:val="clear" w:color="auto" w:fill="7E36B4"/>
          </w:tcPr>
          <w:p w14:paraId="4DE8CB43" w14:textId="77777777" w:rsidR="005253F1" w:rsidRPr="00627843" w:rsidRDefault="005253F1" w:rsidP="00800F4F">
            <w:pPr>
              <w:rPr>
                <w:rFonts w:ascii="MyriadPro-Regular" w:hAnsi="MyriadPro-Regular" w:cs="Arial"/>
              </w:rPr>
            </w:pPr>
            <w:r w:rsidRPr="00627843">
              <w:rPr>
                <w:rFonts w:ascii="MyriadPro-Regular" w:hAnsi="MyriadPro-Regular" w:cs="Arial"/>
              </w:rPr>
              <w:t>Acciones</w:t>
            </w:r>
          </w:p>
        </w:tc>
      </w:tr>
      <w:tr w:rsidR="005253F1" w:rsidRPr="00A8481F" w14:paraId="2F6CAB74" w14:textId="77777777" w:rsidTr="005253F1">
        <w:trPr>
          <w:jc w:val="center"/>
        </w:trPr>
        <w:tc>
          <w:tcPr>
            <w:tcW w:w="9072" w:type="dxa"/>
            <w:shd w:val="clear" w:color="auto" w:fill="auto"/>
          </w:tcPr>
          <w:p w14:paraId="56C06EEF" w14:textId="77777777" w:rsidR="005253F1" w:rsidRPr="00627843" w:rsidRDefault="005253F1" w:rsidP="00800F4F">
            <w:pPr>
              <w:ind w:left="1310" w:hanging="425"/>
              <w:jc w:val="both"/>
              <w:rPr>
                <w:rFonts w:ascii="MyriadPro-Regular" w:hAnsi="MyriadPro-Regular" w:cs="Arial"/>
              </w:rPr>
            </w:pPr>
            <w:r w:rsidRPr="00627843">
              <w:rPr>
                <w:rFonts w:ascii="MyriadPro-Regular" w:hAnsi="MyriadPro-Regular" w:cs="Arial"/>
              </w:rPr>
              <w:t>1.2.1.1 Implementar el Expediente Clínico Electrónico Único Estatal que permita el monitoreo de la salud de todas las personas que utilicen los servicios médicos del Estado y la sistematización de la información.</w:t>
            </w:r>
          </w:p>
        </w:tc>
      </w:tr>
      <w:tr w:rsidR="005253F1" w:rsidRPr="00A8481F" w14:paraId="7D2DC49A" w14:textId="77777777" w:rsidTr="005253F1">
        <w:trPr>
          <w:jc w:val="center"/>
        </w:trPr>
        <w:tc>
          <w:tcPr>
            <w:tcW w:w="9072" w:type="dxa"/>
            <w:shd w:val="clear" w:color="auto" w:fill="auto"/>
          </w:tcPr>
          <w:p w14:paraId="76FA58CE" w14:textId="77777777" w:rsidR="005253F1" w:rsidRPr="00627843" w:rsidRDefault="005253F1" w:rsidP="00800F4F">
            <w:pPr>
              <w:tabs>
                <w:tab w:val="left" w:pos="827"/>
              </w:tabs>
              <w:ind w:left="1310" w:hanging="425"/>
              <w:contextualSpacing/>
              <w:jc w:val="both"/>
              <w:rPr>
                <w:rFonts w:ascii="MyriadPro-Regular" w:hAnsi="MyriadPro-Regular" w:cs="Arial"/>
              </w:rPr>
            </w:pPr>
            <w:r w:rsidRPr="00627843">
              <w:rPr>
                <w:rFonts w:ascii="MyriadPro-Regular" w:hAnsi="MyriadPro-Regular" w:cs="Arial"/>
              </w:rPr>
              <w:t xml:space="preserve">1.2.1.2 Implementar la digitalización del </w:t>
            </w:r>
            <w:proofErr w:type="spellStart"/>
            <w:r w:rsidRPr="00627843">
              <w:rPr>
                <w:rFonts w:ascii="MyriadPro-Regular" w:hAnsi="MyriadPro-Regular" w:cs="Arial"/>
              </w:rPr>
              <w:t>Cardex</w:t>
            </w:r>
            <w:proofErr w:type="spellEnd"/>
            <w:r w:rsidRPr="00627843">
              <w:rPr>
                <w:rFonts w:ascii="MyriadPro-Regular" w:hAnsi="MyriadPro-Regular" w:cs="Arial"/>
              </w:rPr>
              <w:t xml:space="preserve"> Educativo.</w:t>
            </w:r>
          </w:p>
        </w:tc>
      </w:tr>
      <w:tr w:rsidR="005253F1" w:rsidRPr="00A8481F" w14:paraId="2163E492" w14:textId="77777777" w:rsidTr="005253F1">
        <w:trPr>
          <w:jc w:val="center"/>
        </w:trPr>
        <w:tc>
          <w:tcPr>
            <w:tcW w:w="9072" w:type="dxa"/>
            <w:shd w:val="clear" w:color="auto" w:fill="auto"/>
          </w:tcPr>
          <w:p w14:paraId="5FDC4C31" w14:textId="77777777" w:rsidR="005253F1" w:rsidRPr="00627843" w:rsidRDefault="005253F1" w:rsidP="00800F4F">
            <w:pPr>
              <w:ind w:left="1310" w:hanging="425"/>
              <w:contextualSpacing/>
              <w:jc w:val="both"/>
              <w:rPr>
                <w:rFonts w:ascii="MyriadPro-Regular" w:hAnsi="MyriadPro-Regular" w:cs="Arial"/>
              </w:rPr>
            </w:pPr>
            <w:r w:rsidRPr="00627843">
              <w:rPr>
                <w:rFonts w:ascii="MyriadPro-Regular" w:hAnsi="MyriadPro-Regular" w:cs="Arial"/>
              </w:rPr>
              <w:t>1.2.1.3 Fortalecer la vinculación interinstitucional del sector salud y la asistencia pública en el Modelo de Atención Integral de Salud.</w:t>
            </w:r>
          </w:p>
        </w:tc>
      </w:tr>
      <w:tr w:rsidR="005253F1" w:rsidRPr="00A8481F" w14:paraId="152C3DDA" w14:textId="77777777" w:rsidTr="005253F1">
        <w:trPr>
          <w:trHeight w:val="616"/>
          <w:jc w:val="center"/>
        </w:trPr>
        <w:tc>
          <w:tcPr>
            <w:tcW w:w="9072" w:type="dxa"/>
            <w:shd w:val="clear" w:color="auto" w:fill="auto"/>
          </w:tcPr>
          <w:p w14:paraId="104476AE" w14:textId="77777777" w:rsidR="005253F1" w:rsidRPr="00627843" w:rsidRDefault="005253F1" w:rsidP="005253F1">
            <w:pPr>
              <w:numPr>
                <w:ilvl w:val="3"/>
                <w:numId w:val="8"/>
              </w:numPr>
              <w:ind w:left="1310" w:hanging="425"/>
              <w:contextualSpacing/>
              <w:jc w:val="both"/>
              <w:rPr>
                <w:rFonts w:ascii="MyriadPro-Regular" w:hAnsi="MyriadPro-Regular" w:cs="Arial"/>
              </w:rPr>
            </w:pPr>
          </w:p>
          <w:p w14:paraId="2D89A92F" w14:textId="77777777" w:rsidR="005253F1" w:rsidRPr="00627843" w:rsidRDefault="005253F1" w:rsidP="00800F4F">
            <w:pPr>
              <w:ind w:left="1310" w:hanging="425"/>
              <w:jc w:val="both"/>
              <w:rPr>
                <w:rFonts w:ascii="MyriadPro-Regular" w:hAnsi="MyriadPro-Regular" w:cs="Arial"/>
              </w:rPr>
            </w:pPr>
            <w:r w:rsidRPr="00627843">
              <w:rPr>
                <w:rFonts w:ascii="MyriadPro-Regular" w:hAnsi="MyriadPro-Regular" w:cs="Arial"/>
              </w:rPr>
              <w:t>1.2.1.4 Promover la incorporación de las tecnologías de información y comunicaciones en el proceso de enseñanza-aprendizaje.</w:t>
            </w:r>
          </w:p>
        </w:tc>
      </w:tr>
      <w:tr w:rsidR="005253F1" w:rsidRPr="00A8481F" w14:paraId="0579BF35" w14:textId="77777777" w:rsidTr="005253F1">
        <w:trPr>
          <w:jc w:val="center"/>
        </w:trPr>
        <w:tc>
          <w:tcPr>
            <w:tcW w:w="9072" w:type="dxa"/>
            <w:shd w:val="clear" w:color="auto" w:fill="auto"/>
          </w:tcPr>
          <w:p w14:paraId="5D4D9C80" w14:textId="77777777" w:rsidR="005253F1" w:rsidRPr="00627843" w:rsidRDefault="005253F1" w:rsidP="00800F4F">
            <w:pPr>
              <w:ind w:left="1310" w:hanging="425"/>
              <w:contextualSpacing/>
              <w:jc w:val="both"/>
              <w:rPr>
                <w:rFonts w:ascii="MyriadPro-Regular" w:hAnsi="MyriadPro-Regular" w:cs="Arial"/>
              </w:rPr>
            </w:pPr>
            <w:r w:rsidRPr="00627843">
              <w:rPr>
                <w:rFonts w:ascii="MyriadPro-Regular" w:hAnsi="MyriadPro-Regular" w:cs="Arial"/>
              </w:rPr>
              <w:t>1.2.1.5 Evaluar la efectividad de la enseñanza superior en función de la inserción laboral de sus egresados.</w:t>
            </w:r>
          </w:p>
        </w:tc>
      </w:tr>
      <w:tr w:rsidR="005253F1" w:rsidRPr="00A8481F" w14:paraId="32525A54" w14:textId="77777777" w:rsidTr="005253F1">
        <w:trPr>
          <w:jc w:val="center"/>
        </w:trPr>
        <w:tc>
          <w:tcPr>
            <w:tcW w:w="9072" w:type="dxa"/>
            <w:shd w:val="clear" w:color="auto" w:fill="auto"/>
          </w:tcPr>
          <w:p w14:paraId="2AA90C87" w14:textId="77777777" w:rsidR="005253F1" w:rsidRPr="00627843" w:rsidRDefault="005253F1" w:rsidP="00800F4F">
            <w:pPr>
              <w:ind w:left="1310" w:hanging="425"/>
              <w:contextualSpacing/>
              <w:jc w:val="both"/>
              <w:rPr>
                <w:rFonts w:ascii="MyriadPro-Regular" w:hAnsi="MyriadPro-Regular" w:cs="Arial"/>
              </w:rPr>
            </w:pPr>
            <w:r w:rsidRPr="00627843">
              <w:rPr>
                <w:rFonts w:ascii="MyriadPro-Regular" w:hAnsi="MyriadPro-Regular" w:cs="Arial"/>
              </w:rPr>
              <w:lastRenderedPageBreak/>
              <w:t>1.2.1.6 Invertir de manera eficiente en educación y salud y ejercer una rendición de cuentas transparente hacia los ciudadanos.</w:t>
            </w:r>
          </w:p>
        </w:tc>
      </w:tr>
      <w:tr w:rsidR="005253F1" w:rsidRPr="00A8481F" w14:paraId="2FB9873B" w14:textId="77777777" w:rsidTr="005253F1">
        <w:trPr>
          <w:trHeight w:val="436"/>
          <w:jc w:val="center"/>
        </w:trPr>
        <w:tc>
          <w:tcPr>
            <w:tcW w:w="9072" w:type="dxa"/>
            <w:shd w:val="clear" w:color="auto" w:fill="7E36B4"/>
          </w:tcPr>
          <w:p w14:paraId="1C6026B4" w14:textId="77777777" w:rsidR="005253F1" w:rsidRPr="00627843" w:rsidRDefault="005253F1" w:rsidP="00800F4F">
            <w:pPr>
              <w:jc w:val="both"/>
              <w:rPr>
                <w:rFonts w:ascii="MyriadPro-Regular" w:hAnsi="MyriadPro-Regular" w:cs="Arial"/>
              </w:rPr>
            </w:pPr>
            <w:r w:rsidRPr="00627843">
              <w:rPr>
                <w:rFonts w:ascii="MyriadPro-Regular" w:hAnsi="MyriadPro-Regular" w:cs="Arial"/>
              </w:rPr>
              <w:t>Línea estratégica</w:t>
            </w:r>
          </w:p>
        </w:tc>
      </w:tr>
      <w:tr w:rsidR="005253F1" w:rsidRPr="00A8481F" w14:paraId="53302B23" w14:textId="77777777" w:rsidTr="005253F1">
        <w:trPr>
          <w:jc w:val="center"/>
        </w:trPr>
        <w:tc>
          <w:tcPr>
            <w:tcW w:w="9072" w:type="dxa"/>
            <w:shd w:val="clear" w:color="auto" w:fill="auto"/>
          </w:tcPr>
          <w:p w14:paraId="7B85B2FA" w14:textId="77777777" w:rsidR="005253F1" w:rsidRPr="00627843" w:rsidRDefault="005253F1" w:rsidP="00800F4F">
            <w:pPr>
              <w:ind w:left="1027" w:hanging="626"/>
              <w:contextualSpacing/>
              <w:rPr>
                <w:rFonts w:ascii="MyriadPro-Regular" w:hAnsi="MyriadPro-Regular" w:cs="Arial"/>
              </w:rPr>
            </w:pPr>
            <w:r w:rsidRPr="00627843">
              <w:rPr>
                <w:rFonts w:ascii="MyriadPro-Regular" w:hAnsi="MyriadPro-Regular" w:cs="Arial"/>
              </w:rPr>
              <w:t>1.2.2 Situar a la educación como el elemento central del cambio hacia un Estado moderno y próspero.</w:t>
            </w:r>
          </w:p>
        </w:tc>
      </w:tr>
      <w:tr w:rsidR="005253F1" w:rsidRPr="00A8481F" w14:paraId="17A17F92" w14:textId="77777777" w:rsidTr="005253F1">
        <w:trPr>
          <w:jc w:val="center"/>
        </w:trPr>
        <w:tc>
          <w:tcPr>
            <w:tcW w:w="9072" w:type="dxa"/>
            <w:shd w:val="clear" w:color="auto" w:fill="7E36B4"/>
          </w:tcPr>
          <w:p w14:paraId="79F3C38A" w14:textId="77777777" w:rsidR="005253F1" w:rsidRPr="00627843" w:rsidRDefault="005253F1" w:rsidP="00800F4F">
            <w:pPr>
              <w:rPr>
                <w:rFonts w:ascii="MyriadPro-Regular" w:hAnsi="MyriadPro-Regular" w:cs="Arial"/>
              </w:rPr>
            </w:pPr>
            <w:r w:rsidRPr="00627843">
              <w:rPr>
                <w:rFonts w:ascii="MyriadPro-Regular" w:hAnsi="MyriadPro-Regular" w:cs="Arial"/>
              </w:rPr>
              <w:t>Acciones</w:t>
            </w:r>
          </w:p>
        </w:tc>
      </w:tr>
      <w:tr w:rsidR="005253F1" w:rsidRPr="00A8481F" w14:paraId="2118A18F" w14:textId="77777777" w:rsidTr="005253F1">
        <w:trPr>
          <w:jc w:val="center"/>
        </w:trPr>
        <w:tc>
          <w:tcPr>
            <w:tcW w:w="9072" w:type="dxa"/>
            <w:shd w:val="clear" w:color="auto" w:fill="auto"/>
          </w:tcPr>
          <w:p w14:paraId="29A7B006"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1.2.2.1 Incorporar al magisterio en tareas de iniciación, sensibilización y desarrollo del arte y la cultura como elementos intrínsecos del proceso educativo.</w:t>
            </w:r>
          </w:p>
        </w:tc>
      </w:tr>
      <w:tr w:rsidR="005253F1" w:rsidRPr="00A8481F" w14:paraId="55CF9CE7" w14:textId="77777777" w:rsidTr="005253F1">
        <w:trPr>
          <w:jc w:val="center"/>
        </w:trPr>
        <w:tc>
          <w:tcPr>
            <w:tcW w:w="9072" w:type="dxa"/>
            <w:shd w:val="clear" w:color="auto" w:fill="auto"/>
          </w:tcPr>
          <w:p w14:paraId="48FABA73"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 xml:space="preserve">1.2.2.2 Fortalecer los órganos de colaboración interinstitucional para asegurar la calidad de los aprendizajes en la educación y la formación integral de todos los grupos de la población. </w:t>
            </w:r>
          </w:p>
        </w:tc>
      </w:tr>
      <w:tr w:rsidR="005253F1" w:rsidRPr="00A8481F" w14:paraId="102BA791" w14:textId="77777777" w:rsidTr="005253F1">
        <w:trPr>
          <w:jc w:val="center"/>
        </w:trPr>
        <w:tc>
          <w:tcPr>
            <w:tcW w:w="9072" w:type="dxa"/>
            <w:shd w:val="clear" w:color="auto" w:fill="auto"/>
          </w:tcPr>
          <w:p w14:paraId="18C31C91"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1.2.2.3 Crear sinergias interinstitucionales en el sector educativo en la investigación, innovación, superación profesional, difusión del conocimiento en vinculación con las comunidades en su entorno, el sector privado y social, y las necesidades del Estado.</w:t>
            </w:r>
          </w:p>
        </w:tc>
      </w:tr>
      <w:tr w:rsidR="005253F1" w:rsidRPr="00A8481F" w14:paraId="1A346AED" w14:textId="77777777" w:rsidTr="005253F1">
        <w:trPr>
          <w:jc w:val="center"/>
        </w:trPr>
        <w:tc>
          <w:tcPr>
            <w:tcW w:w="9072" w:type="dxa"/>
            <w:shd w:val="clear" w:color="auto" w:fill="auto"/>
          </w:tcPr>
          <w:p w14:paraId="75C824B0"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1.2.2.4 Promover el desarrollo profesional docente que coadyuve a la construcción de conocimiento ligado a la práctica docente.</w:t>
            </w:r>
          </w:p>
        </w:tc>
      </w:tr>
      <w:tr w:rsidR="005253F1" w:rsidRPr="00A8481F" w14:paraId="01C97098" w14:textId="77777777" w:rsidTr="005253F1">
        <w:trPr>
          <w:jc w:val="center"/>
        </w:trPr>
        <w:tc>
          <w:tcPr>
            <w:tcW w:w="9072" w:type="dxa"/>
            <w:shd w:val="clear" w:color="auto" w:fill="auto"/>
          </w:tcPr>
          <w:p w14:paraId="67F6CAA8"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1.2.2.5 Fomentar una competencia educativa entre las instituciones de educación superior públicas y privadas para crear una mejor oferta educativa.</w:t>
            </w:r>
          </w:p>
        </w:tc>
      </w:tr>
      <w:tr w:rsidR="005253F1" w:rsidRPr="00A8481F" w14:paraId="671A21B4" w14:textId="77777777" w:rsidTr="005253F1">
        <w:trPr>
          <w:jc w:val="center"/>
        </w:trPr>
        <w:tc>
          <w:tcPr>
            <w:tcW w:w="9072" w:type="dxa"/>
            <w:shd w:val="clear" w:color="auto" w:fill="auto"/>
          </w:tcPr>
          <w:p w14:paraId="27F1175D"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1.2.2.6 Crear una cultura de resiliencia ciudadana ante contingencias ambientales, a través de capacitación, educación, concientización e inteligencia colectiva.</w:t>
            </w:r>
          </w:p>
        </w:tc>
      </w:tr>
      <w:tr w:rsidR="005253F1" w:rsidRPr="00A8481F" w14:paraId="407DC50F" w14:textId="77777777" w:rsidTr="005253F1">
        <w:trPr>
          <w:jc w:val="center"/>
        </w:trPr>
        <w:tc>
          <w:tcPr>
            <w:tcW w:w="9072" w:type="dxa"/>
            <w:shd w:val="clear" w:color="auto" w:fill="auto"/>
          </w:tcPr>
          <w:p w14:paraId="708BDBD7" w14:textId="77777777" w:rsidR="005253F1" w:rsidRPr="00627843" w:rsidRDefault="005253F1" w:rsidP="00800F4F">
            <w:pPr>
              <w:ind w:left="1452" w:hanging="567"/>
              <w:jc w:val="both"/>
              <w:rPr>
                <w:rFonts w:ascii="MyriadPro-Regular" w:hAnsi="MyriadPro-Regular" w:cs="Arial"/>
              </w:rPr>
            </w:pPr>
            <w:r w:rsidRPr="00627843">
              <w:rPr>
                <w:rFonts w:ascii="MyriadPro-Regular" w:hAnsi="MyriadPro-Regular" w:cs="Arial"/>
              </w:rPr>
              <w:t>1.2.2.7 Propiciar una cultura física y deportiva en todos los municipios con el fin de lograr personas más sanas tanto en la niñez como en adolescentes y adultos.</w:t>
            </w:r>
          </w:p>
        </w:tc>
      </w:tr>
    </w:tbl>
    <w:p w14:paraId="33FDB754" w14:textId="77777777" w:rsidR="00D93B1D" w:rsidRDefault="00D93B1D" w:rsidP="005253F1">
      <w:pPr>
        <w:rPr>
          <w:rFonts w:ascii="GalanoGrotesque-Regular" w:hAnsi="GalanoGrotesque-Regular" w:cs="Arial"/>
          <w:b/>
          <w:sz w:val="20"/>
          <w:szCs w:val="20"/>
        </w:rPr>
        <w:sectPr w:rsidR="00D93B1D" w:rsidSect="009B176F">
          <w:footnotePr>
            <w:numStart w:val="4"/>
          </w:footnotePr>
          <w:type w:val="continuous"/>
          <w:pgSz w:w="12240" w:h="15840"/>
          <w:pgMar w:top="1418" w:right="1134" w:bottom="1418" w:left="1134" w:header="709" w:footer="709" w:gutter="0"/>
          <w:cols w:space="567"/>
          <w:docGrid w:linePitch="360"/>
        </w:sectPr>
      </w:pPr>
    </w:p>
    <w:p w14:paraId="276ED40E" w14:textId="77777777" w:rsidR="00D93B1D" w:rsidRDefault="00D93B1D" w:rsidP="00F70ABD">
      <w:pPr>
        <w:pStyle w:val="Ttulo1"/>
        <w:rPr>
          <w:rFonts w:ascii="GalanoGrotesque-Medium" w:hAnsi="GalanoGrotesque-Medium"/>
        </w:rPr>
        <w:sectPr w:rsidR="00D93B1D" w:rsidSect="003E3262">
          <w:footnotePr>
            <w:numStart w:val="4"/>
          </w:footnotePr>
          <w:pgSz w:w="12240" w:h="15840"/>
          <w:pgMar w:top="1418" w:right="1134" w:bottom="1418" w:left="1134" w:header="709" w:footer="709" w:gutter="0"/>
          <w:cols w:num="2" w:space="567"/>
          <w:docGrid w:linePitch="360"/>
        </w:sectPr>
      </w:pPr>
      <w:bookmarkStart w:id="11" w:name="_Toc458014381"/>
      <w:bookmarkStart w:id="12" w:name="_Toc458015637"/>
      <w:r>
        <w:rPr>
          <w:rFonts w:ascii="GalanoGrotesque-Medium" w:hAnsi="GalanoGrotesque-Medium"/>
          <w:noProof/>
        </w:rPr>
        <w:lastRenderedPageBreak/>
        <w:drawing>
          <wp:anchor distT="0" distB="0" distL="114300" distR="114300" simplePos="0" relativeHeight="251803136" behindDoc="0" locked="0" layoutInCell="1" allowOverlap="1" wp14:anchorId="3E941C2B" wp14:editId="72E19270">
            <wp:simplePos x="0" y="0"/>
            <wp:positionH relativeFrom="page">
              <wp:posOffset>13639</wp:posOffset>
            </wp:positionH>
            <wp:positionV relativeFrom="paragraph">
              <wp:posOffset>-1087120</wp:posOffset>
            </wp:positionV>
            <wp:extent cx="7742865" cy="10021921"/>
            <wp:effectExtent l="0" t="0" r="0" b="0"/>
            <wp:wrapNone/>
            <wp:docPr id="43022" name="Imagen 4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2" name="Tema-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742865" cy="10021921"/>
                    </a:xfrm>
                    <a:prstGeom prst="rect">
                      <a:avLst/>
                    </a:prstGeom>
                  </pic:spPr>
                </pic:pic>
              </a:graphicData>
            </a:graphic>
            <wp14:sizeRelH relativeFrom="margin">
              <wp14:pctWidth>0</wp14:pctWidth>
            </wp14:sizeRelH>
            <wp14:sizeRelV relativeFrom="margin">
              <wp14:pctHeight>0</wp14:pctHeight>
            </wp14:sizeRelV>
          </wp:anchor>
        </w:drawing>
      </w:r>
      <w:bookmarkEnd w:id="11"/>
      <w:bookmarkEnd w:id="12"/>
    </w:p>
    <w:p w14:paraId="61C9DBF3" w14:textId="77777777" w:rsidR="003E3262" w:rsidRDefault="00D93B1D" w:rsidP="00D93B1D">
      <w:pPr>
        <w:pStyle w:val="Ttulo1"/>
        <w:spacing w:before="0" w:after="200" w:line="320" w:lineRule="exact"/>
        <w:ind w:left="737" w:hanging="28"/>
        <w:rPr>
          <w:rFonts w:ascii="GalanoGrotesque-Medium" w:hAnsi="GalanoGrotesque-Medium"/>
        </w:rPr>
      </w:pPr>
      <w:bookmarkStart w:id="13" w:name="_Toc458015638"/>
      <w:r>
        <w:rPr>
          <w:rFonts w:ascii="GalanoGrotesque-Medium" w:hAnsi="GalanoGrotesque-Medium"/>
          <w:noProof/>
        </w:rPr>
        <w:lastRenderedPageBreak/>
        <w:drawing>
          <wp:anchor distT="0" distB="0" distL="114300" distR="114300" simplePos="0" relativeHeight="251804160" behindDoc="0" locked="0" layoutInCell="1" allowOverlap="1" wp14:anchorId="2CC5C0B7" wp14:editId="397EEAE5">
            <wp:simplePos x="0" y="0"/>
            <wp:positionH relativeFrom="column">
              <wp:posOffset>-326390</wp:posOffset>
            </wp:positionH>
            <wp:positionV relativeFrom="paragraph">
              <wp:posOffset>-48098</wp:posOffset>
            </wp:positionV>
            <wp:extent cx="733336" cy="499730"/>
            <wp:effectExtent l="0" t="0" r="0" b="0"/>
            <wp:wrapNone/>
            <wp:docPr id="43025" name="Imagen 4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3336" cy="49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3262" w:rsidRPr="001E7327">
        <w:rPr>
          <w:rFonts w:ascii="GalanoGrotesque-Medium" w:hAnsi="GalanoGrotesque-Medium"/>
        </w:rPr>
        <w:t>Tranquilidad, Justicia y Paz</w:t>
      </w:r>
      <w:bookmarkEnd w:id="13"/>
    </w:p>
    <w:p w14:paraId="1807E254" w14:textId="77777777" w:rsidR="00D93B1D" w:rsidRDefault="003E3262" w:rsidP="00D93B1D">
      <w:pPr>
        <w:spacing w:after="100" w:afterAutospacing="1"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La justicia es el pilar de la paz y la tranquilidad social, e indudablemente es una condición indispensable para el progreso armónico de las sociedades. Los sistemas de justicia y seguridad pública deben contar con herramientas para sumar a la población y robustecer la coordinación y colaboración de las instituciones involucradas, donde la garantía de los derechos humanos sea la prioridad. </w:t>
      </w:r>
    </w:p>
    <w:p w14:paraId="01827D52" w14:textId="77777777" w:rsidR="003E3262" w:rsidRPr="00A00313" w:rsidRDefault="003E3262" w:rsidP="00D93B1D">
      <w:pPr>
        <w:spacing w:afterLines="160" w:after="384"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Los derechos humanos constituyen el núcleo sustantivo para el proyecto de justicia en Michoacán. Éstos permiten obtener igualdad para todas las personas y condiciones para cubrir las necesidades básicas y complementarias de la población. Los derechos humanos también aseguran la participación activa de la sociedad en las decisiones públicas y el ejercicio de su participación política. </w:t>
      </w:r>
    </w:p>
    <w:p w14:paraId="060E6D3D" w14:textId="77777777" w:rsidR="003E3262" w:rsidRPr="00A00313" w:rsidRDefault="003E3262" w:rsidP="00D93B1D">
      <w:pPr>
        <w:spacing w:afterLines="160" w:after="384"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lastRenderedPageBreak/>
        <w:t>Además, el fortalecimiento de la justicia y la salvaguarda de los derechos humanos son condiciones necesarias para abatir todas las formas de violencia que pudieran obstruir el crecimiento económico, la inclusión social y la gobernanza.</w:t>
      </w:r>
    </w:p>
    <w:p w14:paraId="72816459" w14:textId="77777777" w:rsidR="003E3262" w:rsidRPr="00D93B1D" w:rsidRDefault="003E3262" w:rsidP="00D93B1D">
      <w:pPr>
        <w:pStyle w:val="Prrafodelista"/>
        <w:numPr>
          <w:ilvl w:val="0"/>
          <w:numId w:val="19"/>
        </w:numPr>
        <w:spacing w:after="240"/>
        <w:ind w:left="426" w:hanging="426"/>
        <w:rPr>
          <w:rFonts w:ascii="GalanoGrotesque-Medium" w:hAnsi="GalanoGrotesque-Medium" w:cs="Arial"/>
          <w:b/>
        </w:rPr>
      </w:pPr>
      <w:r w:rsidRPr="00D93B1D">
        <w:rPr>
          <w:rFonts w:ascii="GalanoGrotesque-Medium" w:hAnsi="GalanoGrotesque-Medium" w:cs="Arial"/>
          <w:b/>
        </w:rPr>
        <w:t>Cómo nos encontramos</w:t>
      </w:r>
    </w:p>
    <w:p w14:paraId="68F38F97" w14:textId="77777777" w:rsidR="003E3262" w:rsidRPr="00A00313" w:rsidRDefault="003E3262" w:rsidP="00D93B1D">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Uno de los principales indicadores de la seguridad pública es la Tasa de Incidencia Delictiva del Fuero Común por cada 100 mil habitantes que, particularmente, considera los delitos competencia del Estado. Este indicador permite su comparación entre las entidades federativas del país, considerando la proporción de delitos con respecto al número de habitantes.</w:t>
      </w:r>
    </w:p>
    <w:p w14:paraId="62D88BF7" w14:textId="77777777" w:rsidR="003E3262" w:rsidRDefault="003E3262" w:rsidP="003E3262">
      <w:pPr>
        <w:autoSpaceDE w:val="0"/>
        <w:autoSpaceDN w:val="0"/>
        <w:adjustRightInd w:val="0"/>
        <w:jc w:val="center"/>
        <w:rPr>
          <w:rFonts w:ascii="GalanoGrotesque-Medium" w:hAnsi="GalanoGrotesque-Medium" w:cs="Arial"/>
          <w:b/>
          <w:bCs/>
          <w:color w:val="000000" w:themeColor="text1"/>
        </w:rPr>
        <w:sectPr w:rsidR="003E3262" w:rsidSect="003E3262">
          <w:footnotePr>
            <w:numStart w:val="4"/>
          </w:footnotePr>
          <w:pgSz w:w="12240" w:h="15840"/>
          <w:pgMar w:top="1418" w:right="1134" w:bottom="1418" w:left="1134" w:header="709" w:footer="709" w:gutter="0"/>
          <w:cols w:num="2" w:space="567"/>
          <w:docGrid w:linePitch="360"/>
        </w:sectPr>
      </w:pPr>
    </w:p>
    <w:p w14:paraId="287E6317" w14:textId="77777777" w:rsidR="003E3262" w:rsidRPr="00EF37CA" w:rsidRDefault="003E3262" w:rsidP="00EF37CA">
      <w:pPr>
        <w:autoSpaceDE w:val="0"/>
        <w:autoSpaceDN w:val="0"/>
        <w:adjustRightInd w:val="0"/>
        <w:spacing w:after="0" w:line="180" w:lineRule="exact"/>
        <w:jc w:val="center"/>
        <w:rPr>
          <w:rFonts w:ascii="GalanoGrotesque-Medium" w:hAnsi="GalanoGrotesque-Medium" w:cs="Arial"/>
          <w:b/>
          <w:bCs/>
          <w:color w:val="000000" w:themeColor="text1"/>
          <w:sz w:val="16"/>
        </w:rPr>
      </w:pPr>
      <w:r w:rsidRPr="00EF37CA">
        <w:rPr>
          <w:rFonts w:ascii="GalanoGrotesque-Medium" w:hAnsi="GalanoGrotesque-Medium" w:cs="Arial"/>
          <w:b/>
          <w:bCs/>
          <w:color w:val="000000" w:themeColor="text1"/>
          <w:sz w:val="16"/>
        </w:rPr>
        <w:lastRenderedPageBreak/>
        <w:t xml:space="preserve">Tabla 2.1 </w:t>
      </w:r>
    </w:p>
    <w:p w14:paraId="13AC3376" w14:textId="77777777" w:rsidR="003E3262" w:rsidRPr="00EF37CA" w:rsidRDefault="003E3262" w:rsidP="00EF37CA">
      <w:pPr>
        <w:autoSpaceDE w:val="0"/>
        <w:autoSpaceDN w:val="0"/>
        <w:adjustRightInd w:val="0"/>
        <w:spacing w:after="160" w:line="180" w:lineRule="exact"/>
        <w:jc w:val="center"/>
        <w:rPr>
          <w:rFonts w:ascii="GalanoGrotesque-Medium" w:hAnsi="GalanoGrotesque-Medium" w:cs="Arial"/>
          <w:b/>
          <w:bCs/>
          <w:color w:val="000000" w:themeColor="text1"/>
          <w:sz w:val="16"/>
        </w:rPr>
      </w:pPr>
      <w:r w:rsidRPr="00EF37CA">
        <w:rPr>
          <w:rFonts w:ascii="GalanoGrotesque-Medium" w:hAnsi="GalanoGrotesque-Medium" w:cs="Arial"/>
          <w:b/>
          <w:bCs/>
          <w:color w:val="000000" w:themeColor="text1"/>
          <w:sz w:val="16"/>
        </w:rPr>
        <w:t>Indicadores de tranquilidad, justicia y paz</w:t>
      </w:r>
    </w:p>
    <w:tbl>
      <w:tblPr>
        <w:tblW w:w="9291" w:type="dxa"/>
        <w:jc w:val="center"/>
        <w:tblCellMar>
          <w:left w:w="70" w:type="dxa"/>
          <w:right w:w="70" w:type="dxa"/>
        </w:tblCellMar>
        <w:tblLook w:val="04A0" w:firstRow="1" w:lastRow="0" w:firstColumn="1" w:lastColumn="0" w:noHBand="0" w:noVBand="1"/>
      </w:tblPr>
      <w:tblGrid>
        <w:gridCol w:w="1758"/>
        <w:gridCol w:w="1619"/>
        <w:gridCol w:w="613"/>
        <w:gridCol w:w="969"/>
        <w:gridCol w:w="808"/>
        <w:gridCol w:w="702"/>
        <w:gridCol w:w="720"/>
        <w:gridCol w:w="713"/>
        <w:gridCol w:w="729"/>
        <w:gridCol w:w="660"/>
      </w:tblGrid>
      <w:tr w:rsidR="003E3262" w:rsidRPr="00EF37CA" w14:paraId="532CEAF3" w14:textId="77777777" w:rsidTr="003E3262">
        <w:trPr>
          <w:trHeight w:val="480"/>
          <w:jc w:val="center"/>
        </w:trPr>
        <w:tc>
          <w:tcPr>
            <w:tcW w:w="1758" w:type="dxa"/>
            <w:tcBorders>
              <w:top w:val="single" w:sz="4" w:space="0" w:color="auto"/>
              <w:left w:val="single" w:sz="4" w:space="0" w:color="auto"/>
              <w:bottom w:val="nil"/>
              <w:right w:val="single" w:sz="4" w:space="0" w:color="auto"/>
            </w:tcBorders>
            <w:shd w:val="clear" w:color="000000" w:fill="808080"/>
            <w:noWrap/>
            <w:vAlign w:val="center"/>
            <w:hideMark/>
          </w:tcPr>
          <w:p w14:paraId="503F01FE" w14:textId="77777777" w:rsidR="003E3262" w:rsidRPr="00EF37CA" w:rsidRDefault="003E3262" w:rsidP="00EF37CA">
            <w:pPr>
              <w:spacing w:after="0" w:line="180" w:lineRule="exact"/>
              <w:jc w:val="center"/>
              <w:rPr>
                <w:rFonts w:ascii="GalanoGrotesque-Medium" w:hAnsi="GalanoGrotesque-Medium"/>
                <w:b/>
                <w:bCs/>
                <w:color w:val="000000" w:themeColor="text1"/>
                <w:sz w:val="16"/>
                <w:szCs w:val="18"/>
              </w:rPr>
            </w:pPr>
            <w:r w:rsidRPr="00EF37CA">
              <w:rPr>
                <w:rFonts w:ascii="GalanoGrotesque-Medium" w:hAnsi="GalanoGrotesque-Medium"/>
                <w:b/>
                <w:bCs/>
                <w:color w:val="000000" w:themeColor="text1"/>
                <w:sz w:val="16"/>
                <w:szCs w:val="18"/>
              </w:rPr>
              <w:t>Indicador</w:t>
            </w:r>
          </w:p>
        </w:tc>
        <w:tc>
          <w:tcPr>
            <w:tcW w:w="1619" w:type="dxa"/>
            <w:tcBorders>
              <w:top w:val="single" w:sz="4" w:space="0" w:color="auto"/>
              <w:left w:val="nil"/>
              <w:bottom w:val="nil"/>
              <w:right w:val="single" w:sz="4" w:space="0" w:color="auto"/>
            </w:tcBorders>
            <w:shd w:val="clear" w:color="000000" w:fill="808080"/>
            <w:noWrap/>
            <w:vAlign w:val="center"/>
            <w:hideMark/>
          </w:tcPr>
          <w:p w14:paraId="1C3C5C18" w14:textId="77777777" w:rsidR="003E3262" w:rsidRPr="00EF37CA" w:rsidRDefault="003E3262" w:rsidP="00EF37CA">
            <w:pPr>
              <w:spacing w:after="0" w:line="180" w:lineRule="exact"/>
              <w:jc w:val="center"/>
              <w:rPr>
                <w:rFonts w:ascii="GalanoGrotesque-Medium" w:hAnsi="GalanoGrotesque-Medium"/>
                <w:b/>
                <w:bCs/>
                <w:color w:val="000000" w:themeColor="text1"/>
                <w:sz w:val="16"/>
                <w:szCs w:val="18"/>
              </w:rPr>
            </w:pPr>
            <w:r w:rsidRPr="00EF37CA">
              <w:rPr>
                <w:rFonts w:ascii="GalanoGrotesque-Medium" w:hAnsi="GalanoGrotesque-Medium"/>
                <w:b/>
                <w:bCs/>
                <w:color w:val="000000" w:themeColor="text1"/>
                <w:sz w:val="16"/>
                <w:szCs w:val="18"/>
              </w:rPr>
              <w:t>Fuente</w:t>
            </w:r>
          </w:p>
        </w:tc>
        <w:tc>
          <w:tcPr>
            <w:tcW w:w="613" w:type="dxa"/>
            <w:tcBorders>
              <w:top w:val="single" w:sz="4" w:space="0" w:color="auto"/>
              <w:left w:val="nil"/>
              <w:bottom w:val="nil"/>
              <w:right w:val="single" w:sz="4" w:space="0" w:color="auto"/>
            </w:tcBorders>
            <w:shd w:val="clear" w:color="000000" w:fill="808080"/>
            <w:noWrap/>
            <w:vAlign w:val="center"/>
            <w:hideMark/>
          </w:tcPr>
          <w:p w14:paraId="52A5D0FF" w14:textId="77777777" w:rsidR="003E3262" w:rsidRPr="00EF37CA" w:rsidRDefault="003E3262" w:rsidP="00EF37CA">
            <w:pPr>
              <w:spacing w:after="0" w:line="180" w:lineRule="exact"/>
              <w:jc w:val="center"/>
              <w:rPr>
                <w:rFonts w:ascii="GalanoGrotesque-Medium" w:hAnsi="GalanoGrotesque-Medium"/>
                <w:b/>
                <w:bCs/>
                <w:color w:val="000000" w:themeColor="text1"/>
                <w:sz w:val="16"/>
                <w:szCs w:val="18"/>
              </w:rPr>
            </w:pPr>
            <w:proofErr w:type="spellStart"/>
            <w:r w:rsidRPr="00EF37CA">
              <w:rPr>
                <w:rFonts w:ascii="GalanoGrotesque-Medium" w:hAnsi="GalanoGrotesque-Medium"/>
                <w:b/>
                <w:bCs/>
                <w:color w:val="000000" w:themeColor="text1"/>
                <w:sz w:val="16"/>
                <w:szCs w:val="18"/>
              </w:rPr>
              <w:t>Rk</w:t>
            </w:r>
            <w:proofErr w:type="spellEnd"/>
          </w:p>
        </w:tc>
        <w:tc>
          <w:tcPr>
            <w:tcW w:w="969" w:type="dxa"/>
            <w:tcBorders>
              <w:top w:val="single" w:sz="4" w:space="0" w:color="auto"/>
              <w:left w:val="nil"/>
              <w:bottom w:val="nil"/>
              <w:right w:val="single" w:sz="4" w:space="0" w:color="auto"/>
            </w:tcBorders>
            <w:shd w:val="clear" w:color="000000" w:fill="808080"/>
            <w:vAlign w:val="center"/>
            <w:hideMark/>
          </w:tcPr>
          <w:p w14:paraId="3E4F9D08" w14:textId="77777777" w:rsidR="003E3262" w:rsidRPr="00EF37CA" w:rsidRDefault="003E3262" w:rsidP="00EF37CA">
            <w:pPr>
              <w:spacing w:after="0" w:line="180" w:lineRule="exact"/>
              <w:jc w:val="center"/>
              <w:rPr>
                <w:rFonts w:ascii="GalanoGrotesque-Medium" w:hAnsi="GalanoGrotesque-Medium"/>
                <w:b/>
                <w:bCs/>
                <w:color w:val="000000" w:themeColor="text1"/>
                <w:sz w:val="16"/>
                <w:szCs w:val="18"/>
              </w:rPr>
            </w:pPr>
            <w:r w:rsidRPr="00EF37CA">
              <w:rPr>
                <w:rFonts w:ascii="GalanoGrotesque-Medium" w:hAnsi="GalanoGrotesque-Medium"/>
                <w:b/>
                <w:bCs/>
                <w:color w:val="000000" w:themeColor="text1"/>
                <w:sz w:val="16"/>
                <w:szCs w:val="18"/>
              </w:rPr>
              <w:t>Media Nacional</w:t>
            </w:r>
          </w:p>
        </w:tc>
        <w:tc>
          <w:tcPr>
            <w:tcW w:w="808" w:type="dxa"/>
            <w:tcBorders>
              <w:top w:val="single" w:sz="4" w:space="0" w:color="auto"/>
              <w:left w:val="nil"/>
              <w:bottom w:val="nil"/>
              <w:right w:val="single" w:sz="4" w:space="0" w:color="auto"/>
            </w:tcBorders>
            <w:shd w:val="clear" w:color="000000" w:fill="808080"/>
            <w:vAlign w:val="center"/>
            <w:hideMark/>
          </w:tcPr>
          <w:p w14:paraId="0F47FFF2" w14:textId="77777777" w:rsidR="003E3262" w:rsidRPr="00EF37CA" w:rsidRDefault="003E3262" w:rsidP="00EF37CA">
            <w:pPr>
              <w:spacing w:after="0" w:line="180" w:lineRule="exact"/>
              <w:jc w:val="center"/>
              <w:rPr>
                <w:rFonts w:ascii="GalanoGrotesque-Medium" w:hAnsi="GalanoGrotesque-Medium"/>
                <w:b/>
                <w:bCs/>
                <w:color w:val="000000" w:themeColor="text1"/>
                <w:sz w:val="16"/>
                <w:szCs w:val="18"/>
              </w:rPr>
            </w:pPr>
            <w:r w:rsidRPr="00EF37CA">
              <w:rPr>
                <w:rFonts w:ascii="GalanoGrotesque-Medium" w:hAnsi="GalanoGrotesque-Medium"/>
                <w:b/>
                <w:bCs/>
                <w:color w:val="000000" w:themeColor="text1"/>
                <w:sz w:val="16"/>
                <w:szCs w:val="18"/>
              </w:rPr>
              <w:t>Unidad</w:t>
            </w:r>
          </w:p>
        </w:tc>
        <w:tc>
          <w:tcPr>
            <w:tcW w:w="702" w:type="dxa"/>
            <w:tcBorders>
              <w:top w:val="single" w:sz="4" w:space="0" w:color="auto"/>
              <w:left w:val="nil"/>
              <w:bottom w:val="nil"/>
              <w:right w:val="single" w:sz="4" w:space="0" w:color="auto"/>
            </w:tcBorders>
            <w:shd w:val="clear" w:color="000000" w:fill="808080"/>
            <w:noWrap/>
            <w:vAlign w:val="center"/>
            <w:hideMark/>
          </w:tcPr>
          <w:p w14:paraId="583297B1" w14:textId="77777777" w:rsidR="003E3262" w:rsidRPr="00EF37CA" w:rsidRDefault="003E3262" w:rsidP="00EF37CA">
            <w:pPr>
              <w:spacing w:after="0" w:line="180" w:lineRule="exact"/>
              <w:jc w:val="center"/>
              <w:rPr>
                <w:rFonts w:ascii="GalanoGrotesque-Medium" w:hAnsi="GalanoGrotesque-Medium"/>
                <w:b/>
                <w:bCs/>
                <w:color w:val="000000" w:themeColor="text1"/>
                <w:sz w:val="16"/>
                <w:szCs w:val="18"/>
              </w:rPr>
            </w:pPr>
            <w:r w:rsidRPr="00EF37CA">
              <w:rPr>
                <w:rFonts w:ascii="GalanoGrotesque-Medium" w:hAnsi="GalanoGrotesque-Medium"/>
                <w:b/>
                <w:bCs/>
                <w:color w:val="000000" w:themeColor="text1"/>
                <w:sz w:val="16"/>
                <w:szCs w:val="18"/>
              </w:rPr>
              <w:t>2010</w:t>
            </w:r>
          </w:p>
        </w:tc>
        <w:tc>
          <w:tcPr>
            <w:tcW w:w="720" w:type="dxa"/>
            <w:tcBorders>
              <w:top w:val="single" w:sz="4" w:space="0" w:color="auto"/>
              <w:left w:val="nil"/>
              <w:bottom w:val="nil"/>
              <w:right w:val="single" w:sz="4" w:space="0" w:color="auto"/>
            </w:tcBorders>
            <w:shd w:val="clear" w:color="000000" w:fill="808080"/>
            <w:noWrap/>
            <w:vAlign w:val="center"/>
            <w:hideMark/>
          </w:tcPr>
          <w:p w14:paraId="27F244A8" w14:textId="77777777" w:rsidR="003E3262" w:rsidRPr="00EF37CA" w:rsidRDefault="003E3262" w:rsidP="00EF37CA">
            <w:pPr>
              <w:spacing w:after="0" w:line="180" w:lineRule="exact"/>
              <w:jc w:val="center"/>
              <w:rPr>
                <w:rFonts w:ascii="GalanoGrotesque-Medium" w:hAnsi="GalanoGrotesque-Medium"/>
                <w:b/>
                <w:bCs/>
                <w:color w:val="000000" w:themeColor="text1"/>
                <w:sz w:val="16"/>
                <w:szCs w:val="18"/>
              </w:rPr>
            </w:pPr>
            <w:r w:rsidRPr="00EF37CA">
              <w:rPr>
                <w:rFonts w:ascii="GalanoGrotesque-Medium" w:hAnsi="GalanoGrotesque-Medium"/>
                <w:b/>
                <w:bCs/>
                <w:color w:val="000000" w:themeColor="text1"/>
                <w:sz w:val="16"/>
                <w:szCs w:val="18"/>
              </w:rPr>
              <w:t>2011</w:t>
            </w:r>
          </w:p>
        </w:tc>
        <w:tc>
          <w:tcPr>
            <w:tcW w:w="713" w:type="dxa"/>
            <w:tcBorders>
              <w:top w:val="single" w:sz="4" w:space="0" w:color="auto"/>
              <w:left w:val="nil"/>
              <w:bottom w:val="nil"/>
              <w:right w:val="single" w:sz="4" w:space="0" w:color="auto"/>
            </w:tcBorders>
            <w:shd w:val="clear" w:color="000000" w:fill="808080"/>
            <w:noWrap/>
            <w:vAlign w:val="center"/>
            <w:hideMark/>
          </w:tcPr>
          <w:p w14:paraId="1440B554" w14:textId="77777777" w:rsidR="003E3262" w:rsidRPr="00EF37CA" w:rsidRDefault="003E3262" w:rsidP="00EF37CA">
            <w:pPr>
              <w:spacing w:after="0" w:line="180" w:lineRule="exact"/>
              <w:jc w:val="center"/>
              <w:rPr>
                <w:rFonts w:ascii="GalanoGrotesque-Medium" w:hAnsi="GalanoGrotesque-Medium"/>
                <w:b/>
                <w:bCs/>
                <w:color w:val="000000" w:themeColor="text1"/>
                <w:sz w:val="16"/>
                <w:szCs w:val="18"/>
              </w:rPr>
            </w:pPr>
            <w:r w:rsidRPr="00EF37CA">
              <w:rPr>
                <w:rFonts w:ascii="GalanoGrotesque-Medium" w:hAnsi="GalanoGrotesque-Medium"/>
                <w:b/>
                <w:bCs/>
                <w:color w:val="000000" w:themeColor="text1"/>
                <w:sz w:val="16"/>
                <w:szCs w:val="18"/>
              </w:rPr>
              <w:t>2012</w:t>
            </w:r>
          </w:p>
        </w:tc>
        <w:tc>
          <w:tcPr>
            <w:tcW w:w="729" w:type="dxa"/>
            <w:tcBorders>
              <w:top w:val="single" w:sz="4" w:space="0" w:color="auto"/>
              <w:left w:val="nil"/>
              <w:bottom w:val="nil"/>
              <w:right w:val="single" w:sz="4" w:space="0" w:color="auto"/>
            </w:tcBorders>
            <w:shd w:val="clear" w:color="000000" w:fill="808080"/>
            <w:noWrap/>
            <w:vAlign w:val="center"/>
            <w:hideMark/>
          </w:tcPr>
          <w:p w14:paraId="11791842" w14:textId="77777777" w:rsidR="003E3262" w:rsidRPr="00EF37CA" w:rsidRDefault="003E3262" w:rsidP="00EF37CA">
            <w:pPr>
              <w:spacing w:after="0" w:line="180" w:lineRule="exact"/>
              <w:jc w:val="center"/>
              <w:rPr>
                <w:rFonts w:ascii="GalanoGrotesque-Medium" w:hAnsi="GalanoGrotesque-Medium"/>
                <w:b/>
                <w:bCs/>
                <w:color w:val="000000" w:themeColor="text1"/>
                <w:sz w:val="16"/>
                <w:szCs w:val="18"/>
              </w:rPr>
            </w:pPr>
            <w:r w:rsidRPr="00EF37CA">
              <w:rPr>
                <w:rFonts w:ascii="GalanoGrotesque-Medium" w:hAnsi="GalanoGrotesque-Medium"/>
                <w:b/>
                <w:bCs/>
                <w:color w:val="000000" w:themeColor="text1"/>
                <w:sz w:val="16"/>
                <w:szCs w:val="18"/>
              </w:rPr>
              <w:t>2013</w:t>
            </w:r>
          </w:p>
        </w:tc>
        <w:tc>
          <w:tcPr>
            <w:tcW w:w="660" w:type="dxa"/>
            <w:tcBorders>
              <w:top w:val="single" w:sz="4" w:space="0" w:color="auto"/>
              <w:left w:val="nil"/>
              <w:bottom w:val="nil"/>
              <w:right w:val="single" w:sz="4" w:space="0" w:color="auto"/>
            </w:tcBorders>
            <w:shd w:val="clear" w:color="000000" w:fill="808080"/>
            <w:noWrap/>
            <w:vAlign w:val="center"/>
            <w:hideMark/>
          </w:tcPr>
          <w:p w14:paraId="6DA44D0D" w14:textId="77777777" w:rsidR="003E3262" w:rsidRPr="00EF37CA" w:rsidRDefault="003E3262" w:rsidP="00EF37CA">
            <w:pPr>
              <w:spacing w:after="0" w:line="180" w:lineRule="exact"/>
              <w:jc w:val="center"/>
              <w:rPr>
                <w:rFonts w:ascii="GalanoGrotesque-Medium" w:hAnsi="GalanoGrotesque-Medium"/>
                <w:b/>
                <w:bCs/>
                <w:color w:val="000000" w:themeColor="text1"/>
                <w:sz w:val="16"/>
                <w:szCs w:val="18"/>
              </w:rPr>
            </w:pPr>
            <w:r w:rsidRPr="00EF37CA">
              <w:rPr>
                <w:rFonts w:ascii="GalanoGrotesque-Medium" w:hAnsi="GalanoGrotesque-Medium"/>
                <w:b/>
                <w:bCs/>
                <w:color w:val="000000" w:themeColor="text1"/>
                <w:sz w:val="16"/>
                <w:szCs w:val="18"/>
              </w:rPr>
              <w:t>2014</w:t>
            </w:r>
          </w:p>
        </w:tc>
      </w:tr>
      <w:tr w:rsidR="003E3262" w:rsidRPr="00EF37CA" w14:paraId="14CD12FF" w14:textId="77777777" w:rsidTr="003E3262">
        <w:trPr>
          <w:trHeight w:val="240"/>
          <w:jc w:val="center"/>
        </w:trPr>
        <w:tc>
          <w:tcPr>
            <w:tcW w:w="1758" w:type="dxa"/>
            <w:tcBorders>
              <w:top w:val="single" w:sz="4" w:space="0" w:color="auto"/>
              <w:left w:val="single" w:sz="4" w:space="0" w:color="auto"/>
              <w:bottom w:val="single" w:sz="4" w:space="0" w:color="auto"/>
              <w:right w:val="single" w:sz="4" w:space="0" w:color="auto"/>
            </w:tcBorders>
            <w:shd w:val="clear" w:color="000000" w:fill="C9C9C9"/>
            <w:vAlign w:val="center"/>
            <w:hideMark/>
          </w:tcPr>
          <w:p w14:paraId="7D3E5699" w14:textId="77777777" w:rsidR="003E3262" w:rsidRPr="00EF37CA" w:rsidRDefault="003E3262" w:rsidP="00EF37CA">
            <w:pPr>
              <w:spacing w:after="0" w:line="180" w:lineRule="exact"/>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Tasa de víctimas del delito por cada 100,000 habitantes</w:t>
            </w:r>
          </w:p>
        </w:tc>
        <w:tc>
          <w:tcPr>
            <w:tcW w:w="1619" w:type="dxa"/>
            <w:tcBorders>
              <w:top w:val="single" w:sz="4" w:space="0" w:color="auto"/>
              <w:left w:val="nil"/>
              <w:bottom w:val="single" w:sz="4" w:space="0" w:color="auto"/>
              <w:right w:val="single" w:sz="4" w:space="0" w:color="auto"/>
            </w:tcBorders>
            <w:shd w:val="clear" w:color="000000" w:fill="C9C9C9"/>
            <w:noWrap/>
            <w:vAlign w:val="center"/>
            <w:hideMark/>
          </w:tcPr>
          <w:p w14:paraId="5B8D221E"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INEGI</w:t>
            </w:r>
          </w:p>
        </w:tc>
        <w:tc>
          <w:tcPr>
            <w:tcW w:w="613" w:type="dxa"/>
            <w:tcBorders>
              <w:top w:val="single" w:sz="4" w:space="0" w:color="auto"/>
              <w:left w:val="nil"/>
              <w:bottom w:val="single" w:sz="4" w:space="0" w:color="auto"/>
              <w:right w:val="single" w:sz="4" w:space="0" w:color="auto"/>
            </w:tcBorders>
            <w:shd w:val="clear" w:color="000000" w:fill="C9C9C9"/>
            <w:noWrap/>
            <w:vAlign w:val="center"/>
            <w:hideMark/>
          </w:tcPr>
          <w:p w14:paraId="5062C086"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27</w:t>
            </w:r>
          </w:p>
        </w:tc>
        <w:tc>
          <w:tcPr>
            <w:tcW w:w="969" w:type="dxa"/>
            <w:tcBorders>
              <w:top w:val="single" w:sz="4" w:space="0" w:color="auto"/>
              <w:left w:val="nil"/>
              <w:bottom w:val="single" w:sz="4" w:space="0" w:color="auto"/>
              <w:right w:val="single" w:sz="4" w:space="0" w:color="auto"/>
            </w:tcBorders>
            <w:shd w:val="clear" w:color="000000" w:fill="C9C9C9"/>
            <w:noWrap/>
            <w:vAlign w:val="center"/>
            <w:hideMark/>
          </w:tcPr>
          <w:p w14:paraId="7780B688"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25,569</w:t>
            </w:r>
          </w:p>
        </w:tc>
        <w:tc>
          <w:tcPr>
            <w:tcW w:w="808" w:type="dxa"/>
            <w:tcBorders>
              <w:top w:val="single" w:sz="4" w:space="0" w:color="auto"/>
              <w:left w:val="nil"/>
              <w:bottom w:val="single" w:sz="4" w:space="0" w:color="auto"/>
              <w:right w:val="single" w:sz="4" w:space="0" w:color="auto"/>
            </w:tcBorders>
            <w:shd w:val="clear" w:color="000000" w:fill="C9C9C9"/>
            <w:vAlign w:val="center"/>
            <w:hideMark/>
          </w:tcPr>
          <w:p w14:paraId="1FE78827"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Tasa</w:t>
            </w:r>
          </w:p>
        </w:tc>
        <w:tc>
          <w:tcPr>
            <w:tcW w:w="702" w:type="dxa"/>
            <w:tcBorders>
              <w:top w:val="single" w:sz="4" w:space="0" w:color="auto"/>
              <w:left w:val="nil"/>
              <w:bottom w:val="single" w:sz="4" w:space="0" w:color="auto"/>
              <w:right w:val="single" w:sz="4" w:space="0" w:color="auto"/>
            </w:tcBorders>
            <w:shd w:val="clear" w:color="000000" w:fill="C9C9C9"/>
            <w:noWrap/>
            <w:vAlign w:val="center"/>
            <w:hideMark/>
          </w:tcPr>
          <w:p w14:paraId="105F06AE"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15,106</w:t>
            </w:r>
          </w:p>
        </w:tc>
        <w:tc>
          <w:tcPr>
            <w:tcW w:w="720" w:type="dxa"/>
            <w:tcBorders>
              <w:top w:val="single" w:sz="4" w:space="0" w:color="auto"/>
              <w:left w:val="nil"/>
              <w:bottom w:val="single" w:sz="4" w:space="0" w:color="auto"/>
              <w:right w:val="single" w:sz="4" w:space="0" w:color="auto"/>
            </w:tcBorders>
            <w:shd w:val="clear" w:color="000000" w:fill="C9C9C9"/>
            <w:noWrap/>
            <w:vAlign w:val="center"/>
            <w:hideMark/>
          </w:tcPr>
          <w:p w14:paraId="288FF1C4"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20,805</w:t>
            </w:r>
          </w:p>
        </w:tc>
        <w:tc>
          <w:tcPr>
            <w:tcW w:w="713" w:type="dxa"/>
            <w:tcBorders>
              <w:top w:val="single" w:sz="4" w:space="0" w:color="auto"/>
              <w:left w:val="nil"/>
              <w:bottom w:val="single" w:sz="4" w:space="0" w:color="auto"/>
              <w:right w:val="single" w:sz="4" w:space="0" w:color="auto"/>
            </w:tcBorders>
            <w:shd w:val="clear" w:color="000000" w:fill="C9C9C9"/>
            <w:noWrap/>
            <w:vAlign w:val="center"/>
            <w:hideMark/>
          </w:tcPr>
          <w:p w14:paraId="353ABAA7"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20,354</w:t>
            </w:r>
          </w:p>
        </w:tc>
        <w:tc>
          <w:tcPr>
            <w:tcW w:w="729" w:type="dxa"/>
            <w:tcBorders>
              <w:top w:val="single" w:sz="4" w:space="0" w:color="auto"/>
              <w:left w:val="nil"/>
              <w:bottom w:val="single" w:sz="4" w:space="0" w:color="auto"/>
              <w:right w:val="single" w:sz="4" w:space="0" w:color="auto"/>
            </w:tcBorders>
            <w:shd w:val="clear" w:color="000000" w:fill="C9C9C9"/>
            <w:noWrap/>
            <w:vAlign w:val="center"/>
            <w:hideMark/>
          </w:tcPr>
          <w:p w14:paraId="29177954"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20,002</w:t>
            </w:r>
          </w:p>
        </w:tc>
        <w:tc>
          <w:tcPr>
            <w:tcW w:w="660" w:type="dxa"/>
            <w:tcBorders>
              <w:top w:val="single" w:sz="4" w:space="0" w:color="auto"/>
              <w:left w:val="nil"/>
              <w:bottom w:val="single" w:sz="4" w:space="0" w:color="auto"/>
              <w:right w:val="single" w:sz="4" w:space="0" w:color="auto"/>
            </w:tcBorders>
            <w:shd w:val="clear" w:color="000000" w:fill="C9C9C9"/>
            <w:noWrap/>
            <w:vAlign w:val="center"/>
            <w:hideMark/>
          </w:tcPr>
          <w:p w14:paraId="04964B22"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21,311</w:t>
            </w:r>
          </w:p>
        </w:tc>
      </w:tr>
      <w:tr w:rsidR="003E3262" w:rsidRPr="00EF37CA" w14:paraId="71FCBF92" w14:textId="77777777" w:rsidTr="003E3262">
        <w:trPr>
          <w:trHeight w:val="480"/>
          <w:jc w:val="center"/>
        </w:trPr>
        <w:tc>
          <w:tcPr>
            <w:tcW w:w="1758" w:type="dxa"/>
            <w:tcBorders>
              <w:top w:val="nil"/>
              <w:left w:val="single" w:sz="4" w:space="0" w:color="auto"/>
              <w:bottom w:val="single" w:sz="4" w:space="0" w:color="auto"/>
              <w:right w:val="single" w:sz="4" w:space="0" w:color="auto"/>
            </w:tcBorders>
            <w:shd w:val="clear" w:color="000000" w:fill="EDEDED"/>
            <w:vAlign w:val="center"/>
            <w:hideMark/>
          </w:tcPr>
          <w:p w14:paraId="1A5E8A98" w14:textId="77777777" w:rsidR="003E3262" w:rsidRPr="00EF37CA" w:rsidRDefault="003E3262" w:rsidP="00EF37CA">
            <w:pPr>
              <w:spacing w:after="0" w:line="180" w:lineRule="exact"/>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Tasa de incidencia delictiva por entidad federativa por cada 100,000 habitantes, según tipo de delito</w:t>
            </w:r>
          </w:p>
        </w:tc>
        <w:tc>
          <w:tcPr>
            <w:tcW w:w="1619" w:type="dxa"/>
            <w:tcBorders>
              <w:top w:val="nil"/>
              <w:left w:val="nil"/>
              <w:bottom w:val="single" w:sz="4" w:space="0" w:color="auto"/>
              <w:right w:val="single" w:sz="4" w:space="0" w:color="auto"/>
            </w:tcBorders>
            <w:shd w:val="clear" w:color="000000" w:fill="EDEDED"/>
            <w:noWrap/>
            <w:vAlign w:val="center"/>
            <w:hideMark/>
          </w:tcPr>
          <w:p w14:paraId="37F7A769"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SESNSP</w:t>
            </w:r>
          </w:p>
        </w:tc>
        <w:tc>
          <w:tcPr>
            <w:tcW w:w="613" w:type="dxa"/>
            <w:tcBorders>
              <w:top w:val="nil"/>
              <w:left w:val="nil"/>
              <w:bottom w:val="single" w:sz="4" w:space="0" w:color="auto"/>
              <w:right w:val="single" w:sz="4" w:space="0" w:color="auto"/>
            </w:tcBorders>
            <w:shd w:val="clear" w:color="000000" w:fill="EDEDED"/>
            <w:noWrap/>
            <w:vAlign w:val="center"/>
            <w:hideMark/>
          </w:tcPr>
          <w:p w14:paraId="32DE37D8"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26</w:t>
            </w:r>
          </w:p>
        </w:tc>
        <w:tc>
          <w:tcPr>
            <w:tcW w:w="969" w:type="dxa"/>
            <w:tcBorders>
              <w:top w:val="nil"/>
              <w:left w:val="nil"/>
              <w:bottom w:val="single" w:sz="4" w:space="0" w:color="auto"/>
              <w:right w:val="single" w:sz="4" w:space="0" w:color="auto"/>
            </w:tcBorders>
            <w:shd w:val="clear" w:color="000000" w:fill="EDEDED"/>
            <w:noWrap/>
            <w:vAlign w:val="center"/>
            <w:hideMark/>
          </w:tcPr>
          <w:p w14:paraId="12112500"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1,325</w:t>
            </w:r>
          </w:p>
        </w:tc>
        <w:tc>
          <w:tcPr>
            <w:tcW w:w="808" w:type="dxa"/>
            <w:tcBorders>
              <w:top w:val="nil"/>
              <w:left w:val="nil"/>
              <w:bottom w:val="single" w:sz="4" w:space="0" w:color="auto"/>
              <w:right w:val="single" w:sz="4" w:space="0" w:color="auto"/>
            </w:tcBorders>
            <w:shd w:val="clear" w:color="000000" w:fill="EDEDED"/>
            <w:vAlign w:val="center"/>
            <w:hideMark/>
          </w:tcPr>
          <w:p w14:paraId="36C52813"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Tasa</w:t>
            </w:r>
          </w:p>
        </w:tc>
        <w:tc>
          <w:tcPr>
            <w:tcW w:w="702" w:type="dxa"/>
            <w:tcBorders>
              <w:top w:val="nil"/>
              <w:left w:val="nil"/>
              <w:bottom w:val="single" w:sz="4" w:space="0" w:color="auto"/>
              <w:right w:val="single" w:sz="4" w:space="0" w:color="auto"/>
            </w:tcBorders>
            <w:shd w:val="clear" w:color="000000" w:fill="EDEDED"/>
            <w:noWrap/>
            <w:vAlign w:val="center"/>
            <w:hideMark/>
          </w:tcPr>
          <w:p w14:paraId="449F27C9"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761</w:t>
            </w:r>
          </w:p>
        </w:tc>
        <w:tc>
          <w:tcPr>
            <w:tcW w:w="720" w:type="dxa"/>
            <w:tcBorders>
              <w:top w:val="nil"/>
              <w:left w:val="nil"/>
              <w:bottom w:val="single" w:sz="4" w:space="0" w:color="auto"/>
              <w:right w:val="single" w:sz="4" w:space="0" w:color="auto"/>
            </w:tcBorders>
            <w:shd w:val="clear" w:color="000000" w:fill="EDEDED"/>
            <w:noWrap/>
            <w:vAlign w:val="center"/>
            <w:hideMark/>
          </w:tcPr>
          <w:p w14:paraId="28C61D6B"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757</w:t>
            </w:r>
          </w:p>
        </w:tc>
        <w:tc>
          <w:tcPr>
            <w:tcW w:w="713" w:type="dxa"/>
            <w:tcBorders>
              <w:top w:val="nil"/>
              <w:left w:val="nil"/>
              <w:bottom w:val="single" w:sz="4" w:space="0" w:color="auto"/>
              <w:right w:val="single" w:sz="4" w:space="0" w:color="auto"/>
            </w:tcBorders>
            <w:shd w:val="clear" w:color="000000" w:fill="EDEDED"/>
            <w:noWrap/>
            <w:vAlign w:val="center"/>
            <w:hideMark/>
          </w:tcPr>
          <w:p w14:paraId="53634BB7"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738</w:t>
            </w:r>
          </w:p>
        </w:tc>
        <w:tc>
          <w:tcPr>
            <w:tcW w:w="729" w:type="dxa"/>
            <w:tcBorders>
              <w:top w:val="nil"/>
              <w:left w:val="nil"/>
              <w:bottom w:val="single" w:sz="4" w:space="0" w:color="auto"/>
              <w:right w:val="single" w:sz="4" w:space="0" w:color="auto"/>
            </w:tcBorders>
            <w:shd w:val="clear" w:color="000000" w:fill="EDEDED"/>
            <w:noWrap/>
            <w:vAlign w:val="center"/>
            <w:hideMark/>
          </w:tcPr>
          <w:p w14:paraId="235C8E03"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735</w:t>
            </w:r>
          </w:p>
        </w:tc>
        <w:tc>
          <w:tcPr>
            <w:tcW w:w="660" w:type="dxa"/>
            <w:tcBorders>
              <w:top w:val="nil"/>
              <w:left w:val="nil"/>
              <w:bottom w:val="single" w:sz="4" w:space="0" w:color="auto"/>
              <w:right w:val="single" w:sz="4" w:space="0" w:color="auto"/>
            </w:tcBorders>
            <w:shd w:val="clear" w:color="000000" w:fill="EDEDED"/>
            <w:noWrap/>
            <w:vAlign w:val="center"/>
            <w:hideMark/>
          </w:tcPr>
          <w:p w14:paraId="30C0DD76"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775</w:t>
            </w:r>
          </w:p>
        </w:tc>
      </w:tr>
      <w:tr w:rsidR="003E3262" w:rsidRPr="00EF37CA" w14:paraId="13E0E2BC" w14:textId="77777777" w:rsidTr="003E3262">
        <w:trPr>
          <w:trHeight w:val="240"/>
          <w:jc w:val="center"/>
        </w:trPr>
        <w:tc>
          <w:tcPr>
            <w:tcW w:w="1758" w:type="dxa"/>
            <w:tcBorders>
              <w:top w:val="nil"/>
              <w:left w:val="single" w:sz="4" w:space="0" w:color="auto"/>
              <w:bottom w:val="single" w:sz="4" w:space="0" w:color="auto"/>
              <w:right w:val="single" w:sz="4" w:space="0" w:color="auto"/>
            </w:tcBorders>
            <w:shd w:val="clear" w:color="000000" w:fill="EDEDED"/>
            <w:vAlign w:val="center"/>
            <w:hideMark/>
          </w:tcPr>
          <w:p w14:paraId="084E3DBA" w14:textId="77777777" w:rsidR="003E3262" w:rsidRPr="00EF37CA" w:rsidRDefault="003E3262" w:rsidP="00EF37CA">
            <w:pPr>
              <w:spacing w:after="0" w:line="180" w:lineRule="exact"/>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 Extorsión</w:t>
            </w:r>
          </w:p>
        </w:tc>
        <w:tc>
          <w:tcPr>
            <w:tcW w:w="1619" w:type="dxa"/>
            <w:tcBorders>
              <w:top w:val="nil"/>
              <w:left w:val="nil"/>
              <w:bottom w:val="single" w:sz="4" w:space="0" w:color="auto"/>
              <w:right w:val="single" w:sz="4" w:space="0" w:color="auto"/>
            </w:tcBorders>
            <w:shd w:val="clear" w:color="000000" w:fill="C9C9C9"/>
            <w:noWrap/>
            <w:vAlign w:val="center"/>
            <w:hideMark/>
          </w:tcPr>
          <w:p w14:paraId="3CA2BB72"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SESNSP</w:t>
            </w:r>
          </w:p>
        </w:tc>
        <w:tc>
          <w:tcPr>
            <w:tcW w:w="613" w:type="dxa"/>
            <w:tcBorders>
              <w:top w:val="nil"/>
              <w:left w:val="nil"/>
              <w:bottom w:val="single" w:sz="4" w:space="0" w:color="auto"/>
              <w:right w:val="single" w:sz="4" w:space="0" w:color="auto"/>
            </w:tcBorders>
            <w:shd w:val="clear" w:color="000000" w:fill="C9C9C9"/>
            <w:noWrap/>
            <w:vAlign w:val="center"/>
            <w:hideMark/>
          </w:tcPr>
          <w:p w14:paraId="49FDEB11"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26</w:t>
            </w:r>
          </w:p>
        </w:tc>
        <w:tc>
          <w:tcPr>
            <w:tcW w:w="969" w:type="dxa"/>
            <w:tcBorders>
              <w:top w:val="nil"/>
              <w:left w:val="nil"/>
              <w:bottom w:val="single" w:sz="4" w:space="0" w:color="auto"/>
              <w:right w:val="single" w:sz="4" w:space="0" w:color="auto"/>
            </w:tcBorders>
            <w:shd w:val="clear" w:color="000000" w:fill="C9C9C9"/>
            <w:noWrap/>
            <w:vAlign w:val="center"/>
            <w:hideMark/>
          </w:tcPr>
          <w:p w14:paraId="2D2FBF2C"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4</w:t>
            </w:r>
          </w:p>
        </w:tc>
        <w:tc>
          <w:tcPr>
            <w:tcW w:w="808" w:type="dxa"/>
            <w:tcBorders>
              <w:top w:val="nil"/>
              <w:left w:val="nil"/>
              <w:bottom w:val="single" w:sz="4" w:space="0" w:color="auto"/>
              <w:right w:val="single" w:sz="4" w:space="0" w:color="auto"/>
            </w:tcBorders>
            <w:shd w:val="clear" w:color="000000" w:fill="C9C9C9"/>
            <w:vAlign w:val="center"/>
            <w:hideMark/>
          </w:tcPr>
          <w:p w14:paraId="1BC5C637"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Tasa</w:t>
            </w:r>
          </w:p>
        </w:tc>
        <w:tc>
          <w:tcPr>
            <w:tcW w:w="702" w:type="dxa"/>
            <w:tcBorders>
              <w:top w:val="nil"/>
              <w:left w:val="nil"/>
              <w:bottom w:val="single" w:sz="4" w:space="0" w:color="auto"/>
              <w:right w:val="single" w:sz="4" w:space="0" w:color="auto"/>
            </w:tcBorders>
            <w:shd w:val="clear" w:color="000000" w:fill="C9C9C9"/>
            <w:noWrap/>
            <w:vAlign w:val="center"/>
            <w:hideMark/>
          </w:tcPr>
          <w:p w14:paraId="0D51ED8C"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4</w:t>
            </w:r>
          </w:p>
        </w:tc>
        <w:tc>
          <w:tcPr>
            <w:tcW w:w="720" w:type="dxa"/>
            <w:tcBorders>
              <w:top w:val="nil"/>
              <w:left w:val="nil"/>
              <w:bottom w:val="single" w:sz="4" w:space="0" w:color="auto"/>
              <w:right w:val="single" w:sz="4" w:space="0" w:color="auto"/>
            </w:tcBorders>
            <w:shd w:val="clear" w:color="000000" w:fill="C9C9C9"/>
            <w:noWrap/>
            <w:vAlign w:val="center"/>
            <w:hideMark/>
          </w:tcPr>
          <w:p w14:paraId="1B12C4DD"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4</w:t>
            </w:r>
          </w:p>
        </w:tc>
        <w:tc>
          <w:tcPr>
            <w:tcW w:w="713" w:type="dxa"/>
            <w:tcBorders>
              <w:top w:val="nil"/>
              <w:left w:val="nil"/>
              <w:bottom w:val="single" w:sz="4" w:space="0" w:color="auto"/>
              <w:right w:val="single" w:sz="4" w:space="0" w:color="auto"/>
            </w:tcBorders>
            <w:shd w:val="clear" w:color="000000" w:fill="C9C9C9"/>
            <w:noWrap/>
            <w:vAlign w:val="center"/>
            <w:hideMark/>
          </w:tcPr>
          <w:p w14:paraId="3A17242F"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8</w:t>
            </w:r>
          </w:p>
        </w:tc>
        <w:tc>
          <w:tcPr>
            <w:tcW w:w="729" w:type="dxa"/>
            <w:tcBorders>
              <w:top w:val="nil"/>
              <w:left w:val="nil"/>
              <w:bottom w:val="single" w:sz="4" w:space="0" w:color="auto"/>
              <w:right w:val="single" w:sz="4" w:space="0" w:color="auto"/>
            </w:tcBorders>
            <w:shd w:val="clear" w:color="000000" w:fill="C9C9C9"/>
            <w:noWrap/>
            <w:vAlign w:val="center"/>
            <w:hideMark/>
          </w:tcPr>
          <w:p w14:paraId="24D3E702"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6</w:t>
            </w:r>
          </w:p>
        </w:tc>
        <w:tc>
          <w:tcPr>
            <w:tcW w:w="660" w:type="dxa"/>
            <w:tcBorders>
              <w:top w:val="nil"/>
              <w:left w:val="nil"/>
              <w:bottom w:val="single" w:sz="4" w:space="0" w:color="auto"/>
              <w:right w:val="single" w:sz="4" w:space="0" w:color="auto"/>
            </w:tcBorders>
            <w:shd w:val="clear" w:color="000000" w:fill="C9C9C9"/>
            <w:noWrap/>
            <w:vAlign w:val="center"/>
            <w:hideMark/>
          </w:tcPr>
          <w:p w14:paraId="7051F996"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4</w:t>
            </w:r>
          </w:p>
        </w:tc>
      </w:tr>
      <w:tr w:rsidR="003E3262" w:rsidRPr="00EF37CA" w14:paraId="243C0C34" w14:textId="77777777" w:rsidTr="003E3262">
        <w:trPr>
          <w:trHeight w:val="240"/>
          <w:jc w:val="center"/>
        </w:trPr>
        <w:tc>
          <w:tcPr>
            <w:tcW w:w="1758" w:type="dxa"/>
            <w:tcBorders>
              <w:top w:val="nil"/>
              <w:left w:val="single" w:sz="4" w:space="0" w:color="auto"/>
              <w:bottom w:val="single" w:sz="4" w:space="0" w:color="auto"/>
              <w:right w:val="single" w:sz="4" w:space="0" w:color="auto"/>
            </w:tcBorders>
            <w:shd w:val="clear" w:color="000000" w:fill="EDEDED"/>
            <w:vAlign w:val="center"/>
            <w:hideMark/>
          </w:tcPr>
          <w:p w14:paraId="356707DC" w14:textId="77777777" w:rsidR="003E3262" w:rsidRPr="00EF37CA" w:rsidRDefault="003E3262" w:rsidP="00EF37CA">
            <w:pPr>
              <w:spacing w:after="0" w:line="180" w:lineRule="exact"/>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 Secuestro</w:t>
            </w:r>
          </w:p>
        </w:tc>
        <w:tc>
          <w:tcPr>
            <w:tcW w:w="1619" w:type="dxa"/>
            <w:tcBorders>
              <w:top w:val="nil"/>
              <w:left w:val="nil"/>
              <w:bottom w:val="single" w:sz="4" w:space="0" w:color="auto"/>
              <w:right w:val="single" w:sz="4" w:space="0" w:color="auto"/>
            </w:tcBorders>
            <w:shd w:val="clear" w:color="000000" w:fill="EDEDED"/>
            <w:noWrap/>
            <w:vAlign w:val="center"/>
            <w:hideMark/>
          </w:tcPr>
          <w:p w14:paraId="4CA55A4A"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SESNSP</w:t>
            </w:r>
          </w:p>
        </w:tc>
        <w:tc>
          <w:tcPr>
            <w:tcW w:w="613" w:type="dxa"/>
            <w:tcBorders>
              <w:top w:val="nil"/>
              <w:left w:val="nil"/>
              <w:bottom w:val="single" w:sz="4" w:space="0" w:color="auto"/>
              <w:right w:val="single" w:sz="4" w:space="0" w:color="auto"/>
            </w:tcBorders>
            <w:shd w:val="clear" w:color="000000" w:fill="EDEDED"/>
            <w:noWrap/>
            <w:vAlign w:val="center"/>
            <w:hideMark/>
          </w:tcPr>
          <w:p w14:paraId="7E859AC7"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11</w:t>
            </w:r>
          </w:p>
        </w:tc>
        <w:tc>
          <w:tcPr>
            <w:tcW w:w="969" w:type="dxa"/>
            <w:tcBorders>
              <w:top w:val="nil"/>
              <w:left w:val="nil"/>
              <w:bottom w:val="single" w:sz="4" w:space="0" w:color="auto"/>
              <w:right w:val="single" w:sz="4" w:space="0" w:color="auto"/>
            </w:tcBorders>
            <w:shd w:val="clear" w:color="000000" w:fill="EDEDED"/>
            <w:noWrap/>
            <w:vAlign w:val="center"/>
            <w:hideMark/>
          </w:tcPr>
          <w:p w14:paraId="668FB296"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0.94</w:t>
            </w:r>
          </w:p>
        </w:tc>
        <w:tc>
          <w:tcPr>
            <w:tcW w:w="808" w:type="dxa"/>
            <w:tcBorders>
              <w:top w:val="nil"/>
              <w:left w:val="nil"/>
              <w:bottom w:val="single" w:sz="4" w:space="0" w:color="auto"/>
              <w:right w:val="single" w:sz="4" w:space="0" w:color="auto"/>
            </w:tcBorders>
            <w:shd w:val="clear" w:color="000000" w:fill="EDEDED"/>
            <w:vAlign w:val="center"/>
            <w:hideMark/>
          </w:tcPr>
          <w:p w14:paraId="31C30CB8"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Tasa</w:t>
            </w:r>
          </w:p>
        </w:tc>
        <w:tc>
          <w:tcPr>
            <w:tcW w:w="702" w:type="dxa"/>
            <w:tcBorders>
              <w:top w:val="nil"/>
              <w:left w:val="nil"/>
              <w:bottom w:val="single" w:sz="4" w:space="0" w:color="auto"/>
              <w:right w:val="single" w:sz="4" w:space="0" w:color="auto"/>
            </w:tcBorders>
            <w:shd w:val="clear" w:color="000000" w:fill="EDEDED"/>
            <w:noWrap/>
            <w:vAlign w:val="center"/>
            <w:hideMark/>
          </w:tcPr>
          <w:p w14:paraId="22CBBBB9"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3.08</w:t>
            </w:r>
          </w:p>
        </w:tc>
        <w:tc>
          <w:tcPr>
            <w:tcW w:w="720" w:type="dxa"/>
            <w:tcBorders>
              <w:top w:val="nil"/>
              <w:left w:val="nil"/>
              <w:bottom w:val="single" w:sz="4" w:space="0" w:color="auto"/>
              <w:right w:val="single" w:sz="4" w:space="0" w:color="auto"/>
            </w:tcBorders>
            <w:shd w:val="clear" w:color="000000" w:fill="EDEDED"/>
            <w:noWrap/>
            <w:vAlign w:val="center"/>
            <w:hideMark/>
          </w:tcPr>
          <w:p w14:paraId="7CED699E"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2.92</w:t>
            </w:r>
          </w:p>
        </w:tc>
        <w:tc>
          <w:tcPr>
            <w:tcW w:w="713" w:type="dxa"/>
            <w:tcBorders>
              <w:top w:val="nil"/>
              <w:left w:val="nil"/>
              <w:bottom w:val="single" w:sz="4" w:space="0" w:color="auto"/>
              <w:right w:val="single" w:sz="4" w:space="0" w:color="auto"/>
            </w:tcBorders>
            <w:shd w:val="clear" w:color="000000" w:fill="EDEDED"/>
            <w:noWrap/>
            <w:vAlign w:val="center"/>
            <w:hideMark/>
          </w:tcPr>
          <w:p w14:paraId="3AF9C231"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3.00</w:t>
            </w:r>
          </w:p>
        </w:tc>
        <w:tc>
          <w:tcPr>
            <w:tcW w:w="729" w:type="dxa"/>
            <w:tcBorders>
              <w:top w:val="nil"/>
              <w:left w:val="nil"/>
              <w:bottom w:val="single" w:sz="4" w:space="0" w:color="auto"/>
              <w:right w:val="single" w:sz="4" w:space="0" w:color="auto"/>
            </w:tcBorders>
            <w:shd w:val="clear" w:color="000000" w:fill="EDEDED"/>
            <w:noWrap/>
            <w:vAlign w:val="center"/>
            <w:hideMark/>
          </w:tcPr>
          <w:p w14:paraId="1A9BABF1"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4.28</w:t>
            </w:r>
          </w:p>
        </w:tc>
        <w:tc>
          <w:tcPr>
            <w:tcW w:w="660" w:type="dxa"/>
            <w:tcBorders>
              <w:top w:val="nil"/>
              <w:left w:val="nil"/>
              <w:bottom w:val="single" w:sz="4" w:space="0" w:color="auto"/>
              <w:right w:val="single" w:sz="4" w:space="0" w:color="auto"/>
            </w:tcBorders>
            <w:shd w:val="clear" w:color="000000" w:fill="EDEDED"/>
            <w:noWrap/>
            <w:vAlign w:val="center"/>
            <w:hideMark/>
          </w:tcPr>
          <w:p w14:paraId="612003BB"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1.82</w:t>
            </w:r>
          </w:p>
        </w:tc>
      </w:tr>
      <w:tr w:rsidR="003E3262" w:rsidRPr="00EF37CA" w14:paraId="2FD6C91D" w14:textId="77777777" w:rsidTr="003E3262">
        <w:trPr>
          <w:trHeight w:val="240"/>
          <w:jc w:val="center"/>
        </w:trPr>
        <w:tc>
          <w:tcPr>
            <w:tcW w:w="1758" w:type="dxa"/>
            <w:tcBorders>
              <w:top w:val="nil"/>
              <w:left w:val="single" w:sz="4" w:space="0" w:color="auto"/>
              <w:bottom w:val="single" w:sz="4" w:space="0" w:color="auto"/>
              <w:right w:val="single" w:sz="4" w:space="0" w:color="auto"/>
            </w:tcBorders>
            <w:shd w:val="clear" w:color="000000" w:fill="EDEDED"/>
            <w:vAlign w:val="center"/>
            <w:hideMark/>
          </w:tcPr>
          <w:p w14:paraId="2EACF69E" w14:textId="77777777" w:rsidR="003E3262" w:rsidRPr="00EF37CA" w:rsidRDefault="003E3262" w:rsidP="00EF37CA">
            <w:pPr>
              <w:spacing w:after="0" w:line="180" w:lineRule="exact"/>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 Homicidios</w:t>
            </w:r>
          </w:p>
        </w:tc>
        <w:tc>
          <w:tcPr>
            <w:tcW w:w="1619" w:type="dxa"/>
            <w:tcBorders>
              <w:top w:val="nil"/>
              <w:left w:val="nil"/>
              <w:bottom w:val="single" w:sz="4" w:space="0" w:color="auto"/>
              <w:right w:val="single" w:sz="4" w:space="0" w:color="auto"/>
            </w:tcBorders>
            <w:shd w:val="clear" w:color="000000" w:fill="C9C9C9"/>
            <w:noWrap/>
            <w:vAlign w:val="center"/>
            <w:hideMark/>
          </w:tcPr>
          <w:p w14:paraId="3C7DC911"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SESNSP</w:t>
            </w:r>
          </w:p>
        </w:tc>
        <w:tc>
          <w:tcPr>
            <w:tcW w:w="613" w:type="dxa"/>
            <w:tcBorders>
              <w:top w:val="nil"/>
              <w:left w:val="nil"/>
              <w:bottom w:val="single" w:sz="4" w:space="0" w:color="auto"/>
              <w:right w:val="single" w:sz="4" w:space="0" w:color="auto"/>
            </w:tcBorders>
            <w:shd w:val="clear" w:color="000000" w:fill="C9C9C9"/>
            <w:noWrap/>
            <w:vAlign w:val="center"/>
            <w:hideMark/>
          </w:tcPr>
          <w:p w14:paraId="40975775"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10</w:t>
            </w:r>
          </w:p>
        </w:tc>
        <w:tc>
          <w:tcPr>
            <w:tcW w:w="969" w:type="dxa"/>
            <w:tcBorders>
              <w:top w:val="nil"/>
              <w:left w:val="nil"/>
              <w:bottom w:val="single" w:sz="4" w:space="0" w:color="auto"/>
              <w:right w:val="single" w:sz="4" w:space="0" w:color="auto"/>
            </w:tcBorders>
            <w:shd w:val="clear" w:color="000000" w:fill="C9C9C9"/>
            <w:noWrap/>
            <w:vAlign w:val="center"/>
            <w:hideMark/>
          </w:tcPr>
          <w:p w14:paraId="09030BE2"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15</w:t>
            </w:r>
          </w:p>
        </w:tc>
        <w:tc>
          <w:tcPr>
            <w:tcW w:w="808" w:type="dxa"/>
            <w:tcBorders>
              <w:top w:val="nil"/>
              <w:left w:val="nil"/>
              <w:bottom w:val="single" w:sz="4" w:space="0" w:color="auto"/>
              <w:right w:val="single" w:sz="4" w:space="0" w:color="auto"/>
            </w:tcBorders>
            <w:shd w:val="clear" w:color="000000" w:fill="C9C9C9"/>
            <w:vAlign w:val="center"/>
            <w:hideMark/>
          </w:tcPr>
          <w:p w14:paraId="54EB918D"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Tasa</w:t>
            </w:r>
          </w:p>
        </w:tc>
        <w:tc>
          <w:tcPr>
            <w:tcW w:w="702" w:type="dxa"/>
            <w:tcBorders>
              <w:top w:val="nil"/>
              <w:left w:val="nil"/>
              <w:bottom w:val="single" w:sz="4" w:space="0" w:color="auto"/>
              <w:right w:val="single" w:sz="4" w:space="0" w:color="auto"/>
            </w:tcBorders>
            <w:shd w:val="clear" w:color="000000" w:fill="C9C9C9"/>
            <w:noWrap/>
            <w:vAlign w:val="center"/>
            <w:hideMark/>
          </w:tcPr>
          <w:p w14:paraId="6C3BADC1"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15</w:t>
            </w:r>
          </w:p>
        </w:tc>
        <w:tc>
          <w:tcPr>
            <w:tcW w:w="720" w:type="dxa"/>
            <w:tcBorders>
              <w:top w:val="nil"/>
              <w:left w:val="nil"/>
              <w:bottom w:val="single" w:sz="4" w:space="0" w:color="auto"/>
              <w:right w:val="single" w:sz="4" w:space="0" w:color="auto"/>
            </w:tcBorders>
            <w:shd w:val="clear" w:color="000000" w:fill="C9C9C9"/>
            <w:noWrap/>
            <w:vAlign w:val="center"/>
            <w:hideMark/>
          </w:tcPr>
          <w:p w14:paraId="4885B5A8"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17</w:t>
            </w:r>
          </w:p>
        </w:tc>
        <w:tc>
          <w:tcPr>
            <w:tcW w:w="713" w:type="dxa"/>
            <w:tcBorders>
              <w:top w:val="nil"/>
              <w:left w:val="nil"/>
              <w:bottom w:val="single" w:sz="4" w:space="0" w:color="auto"/>
              <w:right w:val="single" w:sz="4" w:space="0" w:color="auto"/>
            </w:tcBorders>
            <w:shd w:val="clear" w:color="000000" w:fill="C9C9C9"/>
            <w:noWrap/>
            <w:vAlign w:val="center"/>
            <w:hideMark/>
          </w:tcPr>
          <w:p w14:paraId="4C96C147"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17</w:t>
            </w:r>
          </w:p>
        </w:tc>
        <w:tc>
          <w:tcPr>
            <w:tcW w:w="729" w:type="dxa"/>
            <w:tcBorders>
              <w:top w:val="nil"/>
              <w:left w:val="nil"/>
              <w:bottom w:val="single" w:sz="4" w:space="0" w:color="auto"/>
              <w:right w:val="single" w:sz="4" w:space="0" w:color="auto"/>
            </w:tcBorders>
            <w:shd w:val="clear" w:color="000000" w:fill="C9C9C9"/>
            <w:noWrap/>
            <w:vAlign w:val="center"/>
            <w:hideMark/>
          </w:tcPr>
          <w:p w14:paraId="4E819310"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19</w:t>
            </w:r>
          </w:p>
        </w:tc>
        <w:tc>
          <w:tcPr>
            <w:tcW w:w="660" w:type="dxa"/>
            <w:tcBorders>
              <w:top w:val="nil"/>
              <w:left w:val="nil"/>
              <w:bottom w:val="single" w:sz="4" w:space="0" w:color="auto"/>
              <w:right w:val="single" w:sz="4" w:space="0" w:color="auto"/>
            </w:tcBorders>
            <w:shd w:val="clear" w:color="000000" w:fill="C9C9C9"/>
            <w:noWrap/>
            <w:vAlign w:val="center"/>
            <w:hideMark/>
          </w:tcPr>
          <w:p w14:paraId="5BF3B795"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20</w:t>
            </w:r>
          </w:p>
        </w:tc>
      </w:tr>
      <w:tr w:rsidR="003E3262" w:rsidRPr="00EF37CA" w14:paraId="597A929A" w14:textId="77777777" w:rsidTr="003E3262">
        <w:trPr>
          <w:trHeight w:val="240"/>
          <w:jc w:val="center"/>
        </w:trPr>
        <w:tc>
          <w:tcPr>
            <w:tcW w:w="1758" w:type="dxa"/>
            <w:tcBorders>
              <w:top w:val="nil"/>
              <w:left w:val="single" w:sz="4" w:space="0" w:color="auto"/>
              <w:bottom w:val="single" w:sz="4" w:space="0" w:color="auto"/>
              <w:right w:val="single" w:sz="4" w:space="0" w:color="auto"/>
            </w:tcBorders>
            <w:shd w:val="clear" w:color="000000" w:fill="EDEDED"/>
            <w:vAlign w:val="center"/>
            <w:hideMark/>
          </w:tcPr>
          <w:p w14:paraId="5DEE2C49" w14:textId="77777777" w:rsidR="003E3262" w:rsidRPr="00EF37CA" w:rsidRDefault="003E3262" w:rsidP="00EF37CA">
            <w:pPr>
              <w:spacing w:after="0" w:line="180" w:lineRule="exact"/>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 Robo de vehículos con violencia</w:t>
            </w:r>
          </w:p>
        </w:tc>
        <w:tc>
          <w:tcPr>
            <w:tcW w:w="1619" w:type="dxa"/>
            <w:tcBorders>
              <w:top w:val="nil"/>
              <w:left w:val="nil"/>
              <w:bottom w:val="single" w:sz="4" w:space="0" w:color="auto"/>
              <w:right w:val="single" w:sz="4" w:space="0" w:color="auto"/>
            </w:tcBorders>
            <w:shd w:val="clear" w:color="000000" w:fill="EDEDED"/>
            <w:noWrap/>
            <w:vAlign w:val="center"/>
            <w:hideMark/>
          </w:tcPr>
          <w:p w14:paraId="1525C2B1"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SESNSP</w:t>
            </w:r>
          </w:p>
        </w:tc>
        <w:tc>
          <w:tcPr>
            <w:tcW w:w="613" w:type="dxa"/>
            <w:tcBorders>
              <w:top w:val="nil"/>
              <w:left w:val="nil"/>
              <w:bottom w:val="single" w:sz="4" w:space="0" w:color="auto"/>
              <w:right w:val="single" w:sz="4" w:space="0" w:color="auto"/>
            </w:tcBorders>
            <w:shd w:val="clear" w:color="000000" w:fill="EDEDED"/>
            <w:noWrap/>
            <w:vAlign w:val="center"/>
            <w:hideMark/>
          </w:tcPr>
          <w:p w14:paraId="64AAAF6E"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7</w:t>
            </w:r>
          </w:p>
        </w:tc>
        <w:tc>
          <w:tcPr>
            <w:tcW w:w="969" w:type="dxa"/>
            <w:tcBorders>
              <w:top w:val="nil"/>
              <w:left w:val="nil"/>
              <w:bottom w:val="single" w:sz="4" w:space="0" w:color="auto"/>
              <w:right w:val="single" w:sz="4" w:space="0" w:color="auto"/>
            </w:tcBorders>
            <w:shd w:val="clear" w:color="000000" w:fill="EDEDED"/>
            <w:noWrap/>
            <w:vAlign w:val="center"/>
            <w:hideMark/>
          </w:tcPr>
          <w:p w14:paraId="0318F278"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24.49</w:t>
            </w:r>
          </w:p>
        </w:tc>
        <w:tc>
          <w:tcPr>
            <w:tcW w:w="808" w:type="dxa"/>
            <w:tcBorders>
              <w:top w:val="nil"/>
              <w:left w:val="nil"/>
              <w:bottom w:val="single" w:sz="4" w:space="0" w:color="auto"/>
              <w:right w:val="single" w:sz="4" w:space="0" w:color="auto"/>
            </w:tcBorders>
            <w:shd w:val="clear" w:color="000000" w:fill="EDEDED"/>
            <w:vAlign w:val="center"/>
            <w:hideMark/>
          </w:tcPr>
          <w:p w14:paraId="6F1AA175"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Tasa</w:t>
            </w:r>
          </w:p>
        </w:tc>
        <w:tc>
          <w:tcPr>
            <w:tcW w:w="702" w:type="dxa"/>
            <w:tcBorders>
              <w:top w:val="nil"/>
              <w:left w:val="nil"/>
              <w:bottom w:val="single" w:sz="4" w:space="0" w:color="auto"/>
              <w:right w:val="single" w:sz="4" w:space="0" w:color="auto"/>
            </w:tcBorders>
            <w:shd w:val="clear" w:color="000000" w:fill="EDEDED"/>
            <w:noWrap/>
            <w:vAlign w:val="center"/>
            <w:hideMark/>
          </w:tcPr>
          <w:p w14:paraId="6BB10ABA"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13.14</w:t>
            </w:r>
          </w:p>
        </w:tc>
        <w:tc>
          <w:tcPr>
            <w:tcW w:w="720" w:type="dxa"/>
            <w:tcBorders>
              <w:top w:val="nil"/>
              <w:left w:val="nil"/>
              <w:bottom w:val="single" w:sz="4" w:space="0" w:color="auto"/>
              <w:right w:val="single" w:sz="4" w:space="0" w:color="auto"/>
            </w:tcBorders>
            <w:shd w:val="clear" w:color="000000" w:fill="EDEDED"/>
            <w:noWrap/>
            <w:vAlign w:val="center"/>
            <w:hideMark/>
          </w:tcPr>
          <w:p w14:paraId="01F570D8"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19.74</w:t>
            </w:r>
          </w:p>
        </w:tc>
        <w:tc>
          <w:tcPr>
            <w:tcW w:w="713" w:type="dxa"/>
            <w:tcBorders>
              <w:top w:val="nil"/>
              <w:left w:val="nil"/>
              <w:bottom w:val="single" w:sz="4" w:space="0" w:color="auto"/>
              <w:right w:val="single" w:sz="4" w:space="0" w:color="auto"/>
            </w:tcBorders>
            <w:shd w:val="clear" w:color="000000" w:fill="EDEDED"/>
            <w:noWrap/>
            <w:vAlign w:val="center"/>
            <w:hideMark/>
          </w:tcPr>
          <w:p w14:paraId="3FF6B7E8"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25.14</w:t>
            </w:r>
          </w:p>
        </w:tc>
        <w:tc>
          <w:tcPr>
            <w:tcW w:w="729" w:type="dxa"/>
            <w:tcBorders>
              <w:top w:val="nil"/>
              <w:left w:val="nil"/>
              <w:bottom w:val="single" w:sz="4" w:space="0" w:color="auto"/>
              <w:right w:val="single" w:sz="4" w:space="0" w:color="auto"/>
            </w:tcBorders>
            <w:shd w:val="clear" w:color="000000" w:fill="EDEDED"/>
            <w:noWrap/>
            <w:vAlign w:val="center"/>
            <w:hideMark/>
          </w:tcPr>
          <w:p w14:paraId="76FA03EA"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31.70</w:t>
            </w:r>
          </w:p>
        </w:tc>
        <w:tc>
          <w:tcPr>
            <w:tcW w:w="660" w:type="dxa"/>
            <w:tcBorders>
              <w:top w:val="nil"/>
              <w:left w:val="nil"/>
              <w:bottom w:val="single" w:sz="4" w:space="0" w:color="auto"/>
              <w:right w:val="single" w:sz="4" w:space="0" w:color="auto"/>
            </w:tcBorders>
            <w:shd w:val="clear" w:color="000000" w:fill="EDEDED"/>
            <w:noWrap/>
            <w:vAlign w:val="center"/>
            <w:hideMark/>
          </w:tcPr>
          <w:p w14:paraId="70752788"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29.05</w:t>
            </w:r>
          </w:p>
        </w:tc>
      </w:tr>
      <w:tr w:rsidR="003E3262" w:rsidRPr="00EF37CA" w14:paraId="3CE4295D" w14:textId="77777777" w:rsidTr="003E3262">
        <w:trPr>
          <w:trHeight w:val="240"/>
          <w:jc w:val="center"/>
        </w:trPr>
        <w:tc>
          <w:tcPr>
            <w:tcW w:w="1758" w:type="dxa"/>
            <w:tcBorders>
              <w:top w:val="nil"/>
              <w:left w:val="single" w:sz="4" w:space="0" w:color="auto"/>
              <w:bottom w:val="single" w:sz="4" w:space="0" w:color="auto"/>
              <w:right w:val="single" w:sz="4" w:space="0" w:color="auto"/>
            </w:tcBorders>
            <w:shd w:val="clear" w:color="000000" w:fill="EDEDED"/>
            <w:vAlign w:val="center"/>
            <w:hideMark/>
          </w:tcPr>
          <w:p w14:paraId="4E570412" w14:textId="77777777" w:rsidR="003E3262" w:rsidRPr="00EF37CA" w:rsidRDefault="003E3262" w:rsidP="00EF37CA">
            <w:pPr>
              <w:spacing w:after="0" w:line="180" w:lineRule="exact"/>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 Robo de vehículos sin violencia</w:t>
            </w:r>
          </w:p>
        </w:tc>
        <w:tc>
          <w:tcPr>
            <w:tcW w:w="1619" w:type="dxa"/>
            <w:tcBorders>
              <w:top w:val="nil"/>
              <w:left w:val="nil"/>
              <w:bottom w:val="single" w:sz="4" w:space="0" w:color="auto"/>
              <w:right w:val="single" w:sz="4" w:space="0" w:color="auto"/>
            </w:tcBorders>
            <w:shd w:val="clear" w:color="000000" w:fill="C9C9C9"/>
            <w:noWrap/>
            <w:vAlign w:val="center"/>
            <w:hideMark/>
          </w:tcPr>
          <w:p w14:paraId="7B44167B"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SESNSP</w:t>
            </w:r>
          </w:p>
        </w:tc>
        <w:tc>
          <w:tcPr>
            <w:tcW w:w="613" w:type="dxa"/>
            <w:tcBorders>
              <w:top w:val="nil"/>
              <w:left w:val="nil"/>
              <w:bottom w:val="single" w:sz="4" w:space="0" w:color="auto"/>
              <w:right w:val="single" w:sz="4" w:space="0" w:color="auto"/>
            </w:tcBorders>
            <w:shd w:val="clear" w:color="000000" w:fill="C9C9C9"/>
            <w:noWrap/>
            <w:vAlign w:val="center"/>
            <w:hideMark/>
          </w:tcPr>
          <w:p w14:paraId="7E1F54C1"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13</w:t>
            </w:r>
          </w:p>
        </w:tc>
        <w:tc>
          <w:tcPr>
            <w:tcW w:w="969" w:type="dxa"/>
            <w:tcBorders>
              <w:top w:val="nil"/>
              <w:left w:val="nil"/>
              <w:bottom w:val="single" w:sz="4" w:space="0" w:color="auto"/>
              <w:right w:val="single" w:sz="4" w:space="0" w:color="auto"/>
            </w:tcBorders>
            <w:shd w:val="clear" w:color="000000" w:fill="C9C9C9"/>
            <w:noWrap/>
            <w:vAlign w:val="center"/>
            <w:hideMark/>
          </w:tcPr>
          <w:p w14:paraId="13037BDC"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91</w:t>
            </w:r>
          </w:p>
        </w:tc>
        <w:tc>
          <w:tcPr>
            <w:tcW w:w="808" w:type="dxa"/>
            <w:tcBorders>
              <w:top w:val="nil"/>
              <w:left w:val="nil"/>
              <w:bottom w:val="single" w:sz="4" w:space="0" w:color="auto"/>
              <w:right w:val="single" w:sz="4" w:space="0" w:color="auto"/>
            </w:tcBorders>
            <w:shd w:val="clear" w:color="000000" w:fill="C9C9C9"/>
            <w:vAlign w:val="center"/>
            <w:hideMark/>
          </w:tcPr>
          <w:p w14:paraId="07B35143"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Tasa</w:t>
            </w:r>
          </w:p>
        </w:tc>
        <w:tc>
          <w:tcPr>
            <w:tcW w:w="702" w:type="dxa"/>
            <w:tcBorders>
              <w:top w:val="nil"/>
              <w:left w:val="nil"/>
              <w:bottom w:val="single" w:sz="4" w:space="0" w:color="auto"/>
              <w:right w:val="single" w:sz="4" w:space="0" w:color="auto"/>
            </w:tcBorders>
            <w:shd w:val="clear" w:color="000000" w:fill="C9C9C9"/>
            <w:noWrap/>
            <w:vAlign w:val="center"/>
            <w:hideMark/>
          </w:tcPr>
          <w:p w14:paraId="05411C82"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105</w:t>
            </w:r>
          </w:p>
        </w:tc>
        <w:tc>
          <w:tcPr>
            <w:tcW w:w="720" w:type="dxa"/>
            <w:tcBorders>
              <w:top w:val="nil"/>
              <w:left w:val="nil"/>
              <w:bottom w:val="single" w:sz="4" w:space="0" w:color="auto"/>
              <w:right w:val="single" w:sz="4" w:space="0" w:color="auto"/>
            </w:tcBorders>
            <w:shd w:val="clear" w:color="000000" w:fill="C9C9C9"/>
            <w:noWrap/>
            <w:vAlign w:val="center"/>
            <w:hideMark/>
          </w:tcPr>
          <w:p w14:paraId="2DEF5E4D"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114</w:t>
            </w:r>
          </w:p>
        </w:tc>
        <w:tc>
          <w:tcPr>
            <w:tcW w:w="713" w:type="dxa"/>
            <w:tcBorders>
              <w:top w:val="nil"/>
              <w:left w:val="nil"/>
              <w:bottom w:val="single" w:sz="4" w:space="0" w:color="auto"/>
              <w:right w:val="single" w:sz="4" w:space="0" w:color="auto"/>
            </w:tcBorders>
            <w:shd w:val="clear" w:color="000000" w:fill="C9C9C9"/>
            <w:noWrap/>
            <w:vAlign w:val="center"/>
            <w:hideMark/>
          </w:tcPr>
          <w:p w14:paraId="530176DB"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120</w:t>
            </w:r>
          </w:p>
        </w:tc>
        <w:tc>
          <w:tcPr>
            <w:tcW w:w="729" w:type="dxa"/>
            <w:tcBorders>
              <w:top w:val="nil"/>
              <w:left w:val="nil"/>
              <w:bottom w:val="single" w:sz="4" w:space="0" w:color="auto"/>
              <w:right w:val="single" w:sz="4" w:space="0" w:color="auto"/>
            </w:tcBorders>
            <w:shd w:val="clear" w:color="000000" w:fill="C9C9C9"/>
            <w:noWrap/>
            <w:vAlign w:val="center"/>
            <w:hideMark/>
          </w:tcPr>
          <w:p w14:paraId="7A3982F3"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106</w:t>
            </w:r>
          </w:p>
        </w:tc>
        <w:tc>
          <w:tcPr>
            <w:tcW w:w="660" w:type="dxa"/>
            <w:tcBorders>
              <w:top w:val="nil"/>
              <w:left w:val="nil"/>
              <w:bottom w:val="single" w:sz="4" w:space="0" w:color="auto"/>
              <w:right w:val="single" w:sz="4" w:space="0" w:color="auto"/>
            </w:tcBorders>
            <w:shd w:val="clear" w:color="000000" w:fill="C9C9C9"/>
            <w:noWrap/>
            <w:vAlign w:val="center"/>
            <w:hideMark/>
          </w:tcPr>
          <w:p w14:paraId="0B61AADA"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108</w:t>
            </w:r>
          </w:p>
        </w:tc>
      </w:tr>
      <w:tr w:rsidR="003E3262" w:rsidRPr="00EF37CA" w14:paraId="53772041" w14:textId="77777777" w:rsidTr="003E3262">
        <w:trPr>
          <w:trHeight w:val="240"/>
          <w:jc w:val="center"/>
        </w:trPr>
        <w:tc>
          <w:tcPr>
            <w:tcW w:w="1758" w:type="dxa"/>
            <w:tcBorders>
              <w:top w:val="nil"/>
              <w:left w:val="single" w:sz="4" w:space="0" w:color="auto"/>
              <w:bottom w:val="single" w:sz="4" w:space="0" w:color="auto"/>
              <w:right w:val="single" w:sz="4" w:space="0" w:color="auto"/>
            </w:tcBorders>
            <w:shd w:val="clear" w:color="000000" w:fill="C9C9C9"/>
            <w:vAlign w:val="center"/>
            <w:hideMark/>
          </w:tcPr>
          <w:p w14:paraId="1813A928" w14:textId="77777777" w:rsidR="003E3262" w:rsidRPr="00EF37CA" w:rsidRDefault="003E3262" w:rsidP="00EF37CA">
            <w:pPr>
              <w:spacing w:after="0" w:line="180" w:lineRule="exact"/>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Índice Global de Impunidad</w:t>
            </w:r>
          </w:p>
        </w:tc>
        <w:tc>
          <w:tcPr>
            <w:tcW w:w="1619" w:type="dxa"/>
            <w:tcBorders>
              <w:top w:val="nil"/>
              <w:left w:val="nil"/>
              <w:bottom w:val="single" w:sz="4" w:space="0" w:color="auto"/>
              <w:right w:val="single" w:sz="4" w:space="0" w:color="auto"/>
            </w:tcBorders>
            <w:shd w:val="clear" w:color="000000" w:fill="C9C9C9"/>
            <w:noWrap/>
            <w:vAlign w:val="center"/>
            <w:hideMark/>
          </w:tcPr>
          <w:p w14:paraId="454D2B3D"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UDLAP</w:t>
            </w:r>
          </w:p>
        </w:tc>
        <w:tc>
          <w:tcPr>
            <w:tcW w:w="613" w:type="dxa"/>
            <w:tcBorders>
              <w:top w:val="nil"/>
              <w:left w:val="nil"/>
              <w:bottom w:val="single" w:sz="4" w:space="0" w:color="auto"/>
              <w:right w:val="single" w:sz="4" w:space="0" w:color="auto"/>
            </w:tcBorders>
            <w:shd w:val="clear" w:color="000000" w:fill="C9C9C9"/>
            <w:noWrap/>
            <w:vAlign w:val="center"/>
            <w:hideMark/>
          </w:tcPr>
          <w:p w14:paraId="3C80967B"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20</w:t>
            </w:r>
          </w:p>
        </w:tc>
        <w:tc>
          <w:tcPr>
            <w:tcW w:w="969" w:type="dxa"/>
            <w:tcBorders>
              <w:top w:val="nil"/>
              <w:left w:val="nil"/>
              <w:bottom w:val="single" w:sz="4" w:space="0" w:color="auto"/>
              <w:right w:val="single" w:sz="4" w:space="0" w:color="auto"/>
            </w:tcBorders>
            <w:shd w:val="clear" w:color="000000" w:fill="C9C9C9"/>
            <w:noWrap/>
            <w:vAlign w:val="center"/>
            <w:hideMark/>
          </w:tcPr>
          <w:p w14:paraId="2C19C5ED"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67</w:t>
            </w:r>
          </w:p>
        </w:tc>
        <w:tc>
          <w:tcPr>
            <w:tcW w:w="808" w:type="dxa"/>
            <w:tcBorders>
              <w:top w:val="nil"/>
              <w:left w:val="nil"/>
              <w:bottom w:val="single" w:sz="4" w:space="0" w:color="auto"/>
              <w:right w:val="single" w:sz="4" w:space="0" w:color="auto"/>
            </w:tcBorders>
            <w:shd w:val="clear" w:color="000000" w:fill="C9C9C9"/>
            <w:vAlign w:val="center"/>
            <w:hideMark/>
          </w:tcPr>
          <w:p w14:paraId="73CAD562"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Índice</w:t>
            </w:r>
          </w:p>
        </w:tc>
        <w:tc>
          <w:tcPr>
            <w:tcW w:w="702" w:type="dxa"/>
            <w:tcBorders>
              <w:top w:val="nil"/>
              <w:left w:val="nil"/>
              <w:bottom w:val="single" w:sz="4" w:space="0" w:color="auto"/>
              <w:right w:val="single" w:sz="4" w:space="0" w:color="auto"/>
            </w:tcBorders>
            <w:shd w:val="clear" w:color="000000" w:fill="C9C9C9"/>
            <w:noWrap/>
            <w:vAlign w:val="center"/>
            <w:hideMark/>
          </w:tcPr>
          <w:p w14:paraId="47690AF6"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w:t>
            </w:r>
          </w:p>
        </w:tc>
        <w:tc>
          <w:tcPr>
            <w:tcW w:w="720" w:type="dxa"/>
            <w:tcBorders>
              <w:top w:val="nil"/>
              <w:left w:val="nil"/>
              <w:bottom w:val="single" w:sz="4" w:space="0" w:color="auto"/>
              <w:right w:val="single" w:sz="4" w:space="0" w:color="auto"/>
            </w:tcBorders>
            <w:shd w:val="clear" w:color="000000" w:fill="C9C9C9"/>
            <w:noWrap/>
            <w:vAlign w:val="center"/>
            <w:hideMark/>
          </w:tcPr>
          <w:p w14:paraId="23D64AAC"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w:t>
            </w:r>
          </w:p>
        </w:tc>
        <w:tc>
          <w:tcPr>
            <w:tcW w:w="713" w:type="dxa"/>
            <w:tcBorders>
              <w:top w:val="nil"/>
              <w:left w:val="nil"/>
              <w:bottom w:val="single" w:sz="4" w:space="0" w:color="auto"/>
              <w:right w:val="single" w:sz="4" w:space="0" w:color="auto"/>
            </w:tcBorders>
            <w:shd w:val="clear" w:color="000000" w:fill="C9C9C9"/>
            <w:noWrap/>
            <w:vAlign w:val="center"/>
            <w:hideMark/>
          </w:tcPr>
          <w:p w14:paraId="6EFB7103"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w:t>
            </w:r>
          </w:p>
        </w:tc>
        <w:tc>
          <w:tcPr>
            <w:tcW w:w="729" w:type="dxa"/>
            <w:tcBorders>
              <w:top w:val="nil"/>
              <w:left w:val="nil"/>
              <w:bottom w:val="single" w:sz="4" w:space="0" w:color="auto"/>
              <w:right w:val="single" w:sz="4" w:space="0" w:color="auto"/>
            </w:tcBorders>
            <w:shd w:val="clear" w:color="000000" w:fill="C9C9C9"/>
            <w:noWrap/>
            <w:vAlign w:val="center"/>
            <w:hideMark/>
          </w:tcPr>
          <w:p w14:paraId="3F2B79B3"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w:t>
            </w:r>
          </w:p>
        </w:tc>
        <w:tc>
          <w:tcPr>
            <w:tcW w:w="660" w:type="dxa"/>
            <w:tcBorders>
              <w:top w:val="nil"/>
              <w:left w:val="nil"/>
              <w:bottom w:val="single" w:sz="4" w:space="0" w:color="auto"/>
              <w:right w:val="single" w:sz="4" w:space="0" w:color="auto"/>
            </w:tcBorders>
            <w:shd w:val="clear" w:color="000000" w:fill="C9C9C9"/>
            <w:noWrap/>
            <w:vAlign w:val="center"/>
            <w:hideMark/>
          </w:tcPr>
          <w:p w14:paraId="01E89A61"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w:t>
            </w:r>
          </w:p>
        </w:tc>
      </w:tr>
      <w:tr w:rsidR="003E3262" w:rsidRPr="00EF37CA" w14:paraId="580A6098" w14:textId="77777777" w:rsidTr="003E3262">
        <w:trPr>
          <w:trHeight w:val="480"/>
          <w:jc w:val="center"/>
        </w:trPr>
        <w:tc>
          <w:tcPr>
            <w:tcW w:w="1758" w:type="dxa"/>
            <w:tcBorders>
              <w:top w:val="nil"/>
              <w:left w:val="single" w:sz="4" w:space="0" w:color="auto"/>
              <w:bottom w:val="single" w:sz="4" w:space="0" w:color="auto"/>
              <w:right w:val="single" w:sz="4" w:space="0" w:color="auto"/>
            </w:tcBorders>
            <w:shd w:val="clear" w:color="000000" w:fill="EDEDED"/>
            <w:vAlign w:val="center"/>
            <w:hideMark/>
          </w:tcPr>
          <w:p w14:paraId="1C1D2D1E" w14:textId="77777777" w:rsidR="003E3262" w:rsidRPr="00EF37CA" w:rsidRDefault="003E3262" w:rsidP="00EF37CA">
            <w:pPr>
              <w:spacing w:after="0" w:line="180" w:lineRule="exact"/>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Índice de Desarrollo Democrático IDD-</w:t>
            </w:r>
            <w:proofErr w:type="spellStart"/>
            <w:r w:rsidRPr="00EF37CA">
              <w:rPr>
                <w:rFonts w:ascii="GalanoGrotesque-Medium" w:hAnsi="GalanoGrotesque-Medium"/>
                <w:color w:val="000000" w:themeColor="text1"/>
                <w:sz w:val="16"/>
                <w:szCs w:val="18"/>
              </w:rPr>
              <w:t>Mex</w:t>
            </w:r>
            <w:proofErr w:type="spellEnd"/>
          </w:p>
        </w:tc>
        <w:tc>
          <w:tcPr>
            <w:tcW w:w="1619" w:type="dxa"/>
            <w:tcBorders>
              <w:top w:val="nil"/>
              <w:left w:val="nil"/>
              <w:bottom w:val="single" w:sz="4" w:space="0" w:color="auto"/>
              <w:right w:val="single" w:sz="4" w:space="0" w:color="auto"/>
            </w:tcBorders>
            <w:shd w:val="clear" w:color="000000" w:fill="EDEDED"/>
            <w:noWrap/>
            <w:vAlign w:val="center"/>
            <w:hideMark/>
          </w:tcPr>
          <w:p w14:paraId="265897AA"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IDD-</w:t>
            </w:r>
            <w:proofErr w:type="spellStart"/>
            <w:r w:rsidRPr="00EF37CA">
              <w:rPr>
                <w:rFonts w:ascii="GalanoGrotesque-Medium" w:hAnsi="GalanoGrotesque-Medium"/>
                <w:color w:val="000000" w:themeColor="text1"/>
                <w:sz w:val="16"/>
                <w:szCs w:val="18"/>
              </w:rPr>
              <w:t>Mex</w:t>
            </w:r>
            <w:proofErr w:type="spellEnd"/>
            <w:r w:rsidRPr="00EF37CA">
              <w:rPr>
                <w:rFonts w:ascii="GalanoGrotesque-Medium" w:hAnsi="GalanoGrotesque-Medium"/>
                <w:color w:val="000000" w:themeColor="text1"/>
                <w:sz w:val="16"/>
                <w:szCs w:val="18"/>
              </w:rPr>
              <w:t>/COPARMEX</w:t>
            </w:r>
          </w:p>
        </w:tc>
        <w:tc>
          <w:tcPr>
            <w:tcW w:w="613" w:type="dxa"/>
            <w:tcBorders>
              <w:top w:val="nil"/>
              <w:left w:val="nil"/>
              <w:bottom w:val="single" w:sz="4" w:space="0" w:color="auto"/>
              <w:right w:val="single" w:sz="4" w:space="0" w:color="auto"/>
            </w:tcBorders>
            <w:shd w:val="clear" w:color="000000" w:fill="EDEDED"/>
            <w:noWrap/>
            <w:vAlign w:val="center"/>
            <w:hideMark/>
          </w:tcPr>
          <w:p w14:paraId="2FBF1E57"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30</w:t>
            </w:r>
          </w:p>
        </w:tc>
        <w:tc>
          <w:tcPr>
            <w:tcW w:w="969" w:type="dxa"/>
            <w:tcBorders>
              <w:top w:val="nil"/>
              <w:left w:val="nil"/>
              <w:bottom w:val="single" w:sz="4" w:space="0" w:color="auto"/>
              <w:right w:val="single" w:sz="4" w:space="0" w:color="auto"/>
            </w:tcBorders>
            <w:shd w:val="clear" w:color="000000" w:fill="EDEDED"/>
            <w:noWrap/>
            <w:vAlign w:val="center"/>
            <w:hideMark/>
          </w:tcPr>
          <w:p w14:paraId="51FBB151"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5.014</w:t>
            </w:r>
          </w:p>
        </w:tc>
        <w:tc>
          <w:tcPr>
            <w:tcW w:w="808" w:type="dxa"/>
            <w:tcBorders>
              <w:top w:val="nil"/>
              <w:left w:val="nil"/>
              <w:bottom w:val="single" w:sz="4" w:space="0" w:color="auto"/>
              <w:right w:val="single" w:sz="4" w:space="0" w:color="auto"/>
            </w:tcBorders>
            <w:shd w:val="clear" w:color="000000" w:fill="EDEDED"/>
            <w:vAlign w:val="center"/>
            <w:hideMark/>
          </w:tcPr>
          <w:p w14:paraId="3FCE55BB"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Índice (1.10)</w:t>
            </w:r>
          </w:p>
        </w:tc>
        <w:tc>
          <w:tcPr>
            <w:tcW w:w="702" w:type="dxa"/>
            <w:tcBorders>
              <w:top w:val="nil"/>
              <w:left w:val="nil"/>
              <w:bottom w:val="single" w:sz="4" w:space="0" w:color="auto"/>
              <w:right w:val="single" w:sz="4" w:space="0" w:color="auto"/>
            </w:tcBorders>
            <w:shd w:val="clear" w:color="000000" w:fill="EDEDED"/>
            <w:noWrap/>
            <w:vAlign w:val="center"/>
            <w:hideMark/>
          </w:tcPr>
          <w:p w14:paraId="69BBB096"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4.426</w:t>
            </w:r>
          </w:p>
        </w:tc>
        <w:tc>
          <w:tcPr>
            <w:tcW w:w="720" w:type="dxa"/>
            <w:tcBorders>
              <w:top w:val="nil"/>
              <w:left w:val="nil"/>
              <w:bottom w:val="single" w:sz="4" w:space="0" w:color="auto"/>
              <w:right w:val="single" w:sz="4" w:space="0" w:color="auto"/>
            </w:tcBorders>
            <w:shd w:val="clear" w:color="000000" w:fill="EDEDED"/>
            <w:noWrap/>
            <w:vAlign w:val="center"/>
            <w:hideMark/>
          </w:tcPr>
          <w:p w14:paraId="60725989"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2.598</w:t>
            </w:r>
          </w:p>
        </w:tc>
        <w:tc>
          <w:tcPr>
            <w:tcW w:w="713" w:type="dxa"/>
            <w:tcBorders>
              <w:top w:val="nil"/>
              <w:left w:val="nil"/>
              <w:bottom w:val="single" w:sz="4" w:space="0" w:color="auto"/>
              <w:right w:val="single" w:sz="4" w:space="0" w:color="auto"/>
            </w:tcBorders>
            <w:shd w:val="clear" w:color="000000" w:fill="EDEDED"/>
            <w:noWrap/>
            <w:vAlign w:val="center"/>
            <w:hideMark/>
          </w:tcPr>
          <w:p w14:paraId="1DE1BDF4"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4.63</w:t>
            </w:r>
          </w:p>
        </w:tc>
        <w:tc>
          <w:tcPr>
            <w:tcW w:w="729" w:type="dxa"/>
            <w:tcBorders>
              <w:top w:val="nil"/>
              <w:left w:val="nil"/>
              <w:bottom w:val="single" w:sz="4" w:space="0" w:color="auto"/>
              <w:right w:val="single" w:sz="4" w:space="0" w:color="auto"/>
            </w:tcBorders>
            <w:shd w:val="clear" w:color="000000" w:fill="EDEDED"/>
            <w:noWrap/>
            <w:vAlign w:val="center"/>
            <w:hideMark/>
          </w:tcPr>
          <w:p w14:paraId="784103AB"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3.168</w:t>
            </w:r>
          </w:p>
        </w:tc>
        <w:tc>
          <w:tcPr>
            <w:tcW w:w="660" w:type="dxa"/>
            <w:tcBorders>
              <w:top w:val="nil"/>
              <w:left w:val="nil"/>
              <w:bottom w:val="single" w:sz="4" w:space="0" w:color="auto"/>
              <w:right w:val="single" w:sz="4" w:space="0" w:color="auto"/>
            </w:tcBorders>
            <w:shd w:val="clear" w:color="000000" w:fill="EDEDED"/>
            <w:noWrap/>
            <w:vAlign w:val="center"/>
            <w:hideMark/>
          </w:tcPr>
          <w:p w14:paraId="7136A2A4"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2.458</w:t>
            </w:r>
          </w:p>
        </w:tc>
      </w:tr>
      <w:tr w:rsidR="003E3262" w:rsidRPr="00EF37CA" w14:paraId="2C357A6D" w14:textId="77777777" w:rsidTr="003E3262">
        <w:trPr>
          <w:trHeight w:val="480"/>
          <w:jc w:val="center"/>
        </w:trPr>
        <w:tc>
          <w:tcPr>
            <w:tcW w:w="1758" w:type="dxa"/>
            <w:tcBorders>
              <w:top w:val="nil"/>
              <w:left w:val="single" w:sz="4" w:space="0" w:color="auto"/>
              <w:bottom w:val="single" w:sz="4" w:space="0" w:color="auto"/>
              <w:right w:val="single" w:sz="4" w:space="0" w:color="auto"/>
            </w:tcBorders>
            <w:shd w:val="clear" w:color="000000" w:fill="C9C9C9"/>
            <w:vAlign w:val="center"/>
            <w:hideMark/>
          </w:tcPr>
          <w:p w14:paraId="21287A2B" w14:textId="77777777" w:rsidR="003E3262" w:rsidRPr="00EF37CA" w:rsidRDefault="003E3262" w:rsidP="00EF37CA">
            <w:pPr>
              <w:spacing w:after="0" w:line="180" w:lineRule="exact"/>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Tasa de quejas ante la Comisión Nacional de Derechos Humanos por cada 100,000 habitantes</w:t>
            </w:r>
          </w:p>
        </w:tc>
        <w:tc>
          <w:tcPr>
            <w:tcW w:w="1619" w:type="dxa"/>
            <w:tcBorders>
              <w:top w:val="nil"/>
              <w:left w:val="nil"/>
              <w:bottom w:val="single" w:sz="4" w:space="0" w:color="auto"/>
              <w:right w:val="single" w:sz="4" w:space="0" w:color="auto"/>
            </w:tcBorders>
            <w:shd w:val="clear" w:color="000000" w:fill="C9C9C9"/>
            <w:noWrap/>
            <w:vAlign w:val="center"/>
            <w:hideMark/>
          </w:tcPr>
          <w:p w14:paraId="28E37A05"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CNDH/INEGI</w:t>
            </w:r>
          </w:p>
        </w:tc>
        <w:tc>
          <w:tcPr>
            <w:tcW w:w="613" w:type="dxa"/>
            <w:tcBorders>
              <w:top w:val="nil"/>
              <w:left w:val="nil"/>
              <w:bottom w:val="single" w:sz="4" w:space="0" w:color="auto"/>
              <w:right w:val="single" w:sz="4" w:space="0" w:color="auto"/>
            </w:tcBorders>
            <w:shd w:val="clear" w:color="000000" w:fill="C9C9C9"/>
            <w:noWrap/>
            <w:vAlign w:val="center"/>
            <w:hideMark/>
          </w:tcPr>
          <w:p w14:paraId="39CCE6B6"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17</w:t>
            </w:r>
          </w:p>
        </w:tc>
        <w:tc>
          <w:tcPr>
            <w:tcW w:w="969" w:type="dxa"/>
            <w:tcBorders>
              <w:top w:val="nil"/>
              <w:left w:val="nil"/>
              <w:bottom w:val="single" w:sz="4" w:space="0" w:color="auto"/>
              <w:right w:val="single" w:sz="4" w:space="0" w:color="auto"/>
            </w:tcBorders>
            <w:shd w:val="clear" w:color="000000" w:fill="C9C9C9"/>
            <w:noWrap/>
            <w:vAlign w:val="center"/>
            <w:hideMark/>
          </w:tcPr>
          <w:p w14:paraId="04BBA63E"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9</w:t>
            </w:r>
          </w:p>
        </w:tc>
        <w:tc>
          <w:tcPr>
            <w:tcW w:w="808" w:type="dxa"/>
            <w:tcBorders>
              <w:top w:val="nil"/>
              <w:left w:val="nil"/>
              <w:bottom w:val="single" w:sz="4" w:space="0" w:color="auto"/>
              <w:right w:val="single" w:sz="4" w:space="0" w:color="auto"/>
            </w:tcBorders>
            <w:shd w:val="clear" w:color="000000" w:fill="C9C9C9"/>
            <w:vAlign w:val="center"/>
            <w:hideMark/>
          </w:tcPr>
          <w:p w14:paraId="2DE54EFF"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Tasa</w:t>
            </w:r>
          </w:p>
        </w:tc>
        <w:tc>
          <w:tcPr>
            <w:tcW w:w="702" w:type="dxa"/>
            <w:tcBorders>
              <w:top w:val="nil"/>
              <w:left w:val="nil"/>
              <w:bottom w:val="single" w:sz="4" w:space="0" w:color="auto"/>
              <w:right w:val="single" w:sz="4" w:space="0" w:color="auto"/>
            </w:tcBorders>
            <w:shd w:val="clear" w:color="000000" w:fill="C9C9C9"/>
            <w:noWrap/>
            <w:vAlign w:val="center"/>
            <w:hideMark/>
          </w:tcPr>
          <w:p w14:paraId="51146880"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8</w:t>
            </w:r>
          </w:p>
        </w:tc>
        <w:tc>
          <w:tcPr>
            <w:tcW w:w="720" w:type="dxa"/>
            <w:tcBorders>
              <w:top w:val="nil"/>
              <w:left w:val="nil"/>
              <w:bottom w:val="single" w:sz="4" w:space="0" w:color="auto"/>
              <w:right w:val="single" w:sz="4" w:space="0" w:color="auto"/>
            </w:tcBorders>
            <w:shd w:val="clear" w:color="000000" w:fill="C9C9C9"/>
            <w:noWrap/>
            <w:vAlign w:val="center"/>
            <w:hideMark/>
          </w:tcPr>
          <w:p w14:paraId="16F9C481"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12</w:t>
            </w:r>
          </w:p>
        </w:tc>
        <w:tc>
          <w:tcPr>
            <w:tcW w:w="713" w:type="dxa"/>
            <w:tcBorders>
              <w:top w:val="nil"/>
              <w:left w:val="nil"/>
              <w:bottom w:val="single" w:sz="4" w:space="0" w:color="auto"/>
              <w:right w:val="single" w:sz="4" w:space="0" w:color="auto"/>
            </w:tcBorders>
            <w:shd w:val="clear" w:color="000000" w:fill="C9C9C9"/>
            <w:noWrap/>
            <w:vAlign w:val="center"/>
            <w:hideMark/>
          </w:tcPr>
          <w:p w14:paraId="06F43FB7"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13</w:t>
            </w:r>
          </w:p>
        </w:tc>
        <w:tc>
          <w:tcPr>
            <w:tcW w:w="729" w:type="dxa"/>
            <w:tcBorders>
              <w:top w:val="nil"/>
              <w:left w:val="nil"/>
              <w:bottom w:val="single" w:sz="4" w:space="0" w:color="auto"/>
              <w:right w:val="single" w:sz="4" w:space="0" w:color="auto"/>
            </w:tcBorders>
            <w:shd w:val="clear" w:color="000000" w:fill="C9C9C9"/>
            <w:noWrap/>
            <w:vAlign w:val="center"/>
            <w:hideMark/>
          </w:tcPr>
          <w:p w14:paraId="633D0175"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9</w:t>
            </w:r>
          </w:p>
        </w:tc>
        <w:tc>
          <w:tcPr>
            <w:tcW w:w="660" w:type="dxa"/>
            <w:tcBorders>
              <w:top w:val="nil"/>
              <w:left w:val="nil"/>
              <w:bottom w:val="single" w:sz="4" w:space="0" w:color="auto"/>
              <w:right w:val="single" w:sz="4" w:space="0" w:color="auto"/>
            </w:tcBorders>
            <w:shd w:val="clear" w:color="000000" w:fill="C9C9C9"/>
            <w:noWrap/>
            <w:vAlign w:val="center"/>
            <w:hideMark/>
          </w:tcPr>
          <w:p w14:paraId="366DC543" w14:textId="77777777" w:rsidR="003E3262" w:rsidRPr="00EF37CA" w:rsidRDefault="003E3262" w:rsidP="00EF37CA">
            <w:pPr>
              <w:spacing w:after="0" w:line="180" w:lineRule="exact"/>
              <w:jc w:val="center"/>
              <w:rPr>
                <w:rFonts w:ascii="GalanoGrotesque-Medium" w:hAnsi="GalanoGrotesque-Medium"/>
                <w:color w:val="000000" w:themeColor="text1"/>
                <w:sz w:val="16"/>
                <w:szCs w:val="18"/>
              </w:rPr>
            </w:pPr>
            <w:r w:rsidRPr="00EF37CA">
              <w:rPr>
                <w:rFonts w:ascii="GalanoGrotesque-Medium" w:hAnsi="GalanoGrotesque-Medium"/>
                <w:color w:val="000000" w:themeColor="text1"/>
                <w:sz w:val="16"/>
                <w:szCs w:val="18"/>
              </w:rPr>
              <w:t>13</w:t>
            </w:r>
          </w:p>
        </w:tc>
      </w:tr>
    </w:tbl>
    <w:p w14:paraId="1AA66E55" w14:textId="77777777" w:rsidR="00EF37CA" w:rsidRDefault="00EF37CA" w:rsidP="003E3262">
      <w:pPr>
        <w:spacing w:after="0"/>
        <w:jc w:val="center"/>
        <w:rPr>
          <w:rFonts w:ascii="GalanoGrotesque-Medium" w:eastAsia="Times New Roman" w:hAnsi="GalanoGrotesque-Medium" w:cs="Arial"/>
          <w:b/>
          <w:sz w:val="24"/>
          <w:szCs w:val="24"/>
          <w:lang w:val="es-ES" w:eastAsia="es-ES"/>
        </w:rPr>
      </w:pPr>
    </w:p>
    <w:p w14:paraId="7DE37855" w14:textId="77777777" w:rsidR="00EF37CA" w:rsidRDefault="00EF37CA">
      <w:pPr>
        <w:rPr>
          <w:rFonts w:ascii="GalanoGrotesque-Medium" w:eastAsia="Times New Roman" w:hAnsi="GalanoGrotesque-Medium" w:cs="Arial"/>
          <w:b/>
          <w:sz w:val="24"/>
          <w:szCs w:val="24"/>
          <w:lang w:val="es-ES" w:eastAsia="es-ES"/>
        </w:rPr>
      </w:pPr>
      <w:r>
        <w:rPr>
          <w:rFonts w:ascii="GalanoGrotesque-Medium" w:eastAsia="Times New Roman" w:hAnsi="GalanoGrotesque-Medium" w:cs="Arial"/>
          <w:b/>
          <w:sz w:val="24"/>
          <w:szCs w:val="24"/>
          <w:lang w:val="es-ES" w:eastAsia="es-ES"/>
        </w:rPr>
        <w:br w:type="page"/>
      </w:r>
    </w:p>
    <w:p w14:paraId="1A8C63B2" w14:textId="77777777" w:rsidR="003E3262" w:rsidRPr="00EF37CA" w:rsidRDefault="003E3262" w:rsidP="00EF37CA">
      <w:pPr>
        <w:autoSpaceDE w:val="0"/>
        <w:autoSpaceDN w:val="0"/>
        <w:adjustRightInd w:val="0"/>
        <w:spacing w:after="0" w:line="180" w:lineRule="exact"/>
        <w:jc w:val="center"/>
        <w:rPr>
          <w:rFonts w:ascii="GalanoGrotesque-Medium" w:hAnsi="GalanoGrotesque-Medium" w:cs="Arial"/>
          <w:b/>
          <w:bCs/>
          <w:color w:val="000000" w:themeColor="text1"/>
          <w:sz w:val="16"/>
        </w:rPr>
      </w:pPr>
      <w:r w:rsidRPr="00EF37CA">
        <w:rPr>
          <w:rFonts w:ascii="GalanoGrotesque-Medium" w:hAnsi="GalanoGrotesque-Medium" w:cs="Arial"/>
          <w:b/>
          <w:bCs/>
          <w:color w:val="000000" w:themeColor="text1"/>
          <w:sz w:val="16"/>
        </w:rPr>
        <w:lastRenderedPageBreak/>
        <w:t>Gráfica 2.1</w:t>
      </w:r>
    </w:p>
    <w:p w14:paraId="16D95F3C" w14:textId="77777777" w:rsidR="003E3262" w:rsidRPr="00EF37CA" w:rsidRDefault="003E3262" w:rsidP="00EF37CA">
      <w:pPr>
        <w:autoSpaceDE w:val="0"/>
        <w:autoSpaceDN w:val="0"/>
        <w:adjustRightInd w:val="0"/>
        <w:spacing w:after="0" w:line="180" w:lineRule="exact"/>
        <w:jc w:val="center"/>
        <w:rPr>
          <w:rFonts w:ascii="GalanoGrotesque-Medium" w:hAnsi="GalanoGrotesque-Medium" w:cs="Arial"/>
          <w:b/>
          <w:bCs/>
          <w:color w:val="000000" w:themeColor="text1"/>
          <w:sz w:val="16"/>
        </w:rPr>
      </w:pPr>
      <w:r w:rsidRPr="00EF37CA">
        <w:rPr>
          <w:rFonts w:ascii="GalanoGrotesque-Medium" w:hAnsi="GalanoGrotesque-Medium" w:cs="Arial"/>
          <w:b/>
          <w:bCs/>
          <w:color w:val="000000" w:themeColor="text1"/>
          <w:sz w:val="16"/>
        </w:rPr>
        <w:t>Tasa de Incidencia Delictiva del Fuero Común por cada 100 mil habitantes</w:t>
      </w:r>
    </w:p>
    <w:p w14:paraId="2C2743C9" w14:textId="77777777" w:rsidR="003E3262" w:rsidRPr="003E3262" w:rsidRDefault="003E3262" w:rsidP="003E3262">
      <w:pPr>
        <w:spacing w:after="240"/>
        <w:jc w:val="center"/>
        <w:rPr>
          <w:rFonts w:ascii="GalanoGrotesque-Medium" w:eastAsia="Times New Roman" w:hAnsi="GalanoGrotesque-Medium" w:cs="Arial"/>
          <w:b/>
          <w:sz w:val="24"/>
          <w:szCs w:val="24"/>
          <w:lang w:eastAsia="es-ES"/>
        </w:rPr>
      </w:pPr>
      <w:r w:rsidRPr="003E3262">
        <w:rPr>
          <w:rFonts w:ascii="GalanoGrotesque-Medium" w:eastAsia="Times New Roman" w:hAnsi="GalanoGrotesque-Medium" w:cs="Times New Roman"/>
          <w:noProof/>
          <w:sz w:val="24"/>
          <w:szCs w:val="24"/>
          <w:lang w:val="es-ES" w:eastAsia="es-ES"/>
        </w:rPr>
        <w:drawing>
          <wp:inline distT="0" distB="0" distL="0" distR="0" wp14:anchorId="550638CB" wp14:editId="6ABDA946">
            <wp:extent cx="5296395" cy="2327563"/>
            <wp:effectExtent l="0" t="0" r="19050" b="15875"/>
            <wp:docPr id="59422" name="Gráfico 594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603854" w14:textId="77777777" w:rsidR="003E3262" w:rsidRPr="00EF37CA" w:rsidRDefault="003E3262" w:rsidP="00EF37CA">
      <w:pPr>
        <w:spacing w:after="240"/>
        <w:ind w:left="851"/>
        <w:rPr>
          <w:rFonts w:ascii="GalanoGrotesque-Regular" w:eastAsia="Times New Roman" w:hAnsi="GalanoGrotesque-Regular" w:cs="Arial"/>
          <w:sz w:val="16"/>
          <w:szCs w:val="20"/>
          <w:lang w:val="es-ES" w:eastAsia="es-ES"/>
        </w:rPr>
      </w:pPr>
      <w:r w:rsidRPr="00EF37CA">
        <w:rPr>
          <w:rFonts w:ascii="GalanoGrotesque-Regular" w:eastAsia="Times New Roman" w:hAnsi="GalanoGrotesque-Regular" w:cs="Arial"/>
          <w:sz w:val="16"/>
          <w:szCs w:val="20"/>
          <w:lang w:val="es-ES" w:eastAsia="es-ES"/>
        </w:rPr>
        <w:t>Fuente: Secretariado Ejecutivo del Sistema Nacional de Seguridad Pública.</w:t>
      </w:r>
    </w:p>
    <w:p w14:paraId="7B5DE533" w14:textId="77777777" w:rsidR="00FE0A59" w:rsidRPr="00EF37CA" w:rsidRDefault="00FE0A59" w:rsidP="003E3262">
      <w:pPr>
        <w:spacing w:after="240"/>
        <w:jc w:val="both"/>
        <w:rPr>
          <w:rFonts w:ascii="GalanoGrotesque-Medium" w:eastAsia="Times New Roman" w:hAnsi="GalanoGrotesque-Medium" w:cs="Arial"/>
          <w:sz w:val="20"/>
          <w:szCs w:val="24"/>
          <w:lang w:val="es-ES" w:eastAsia="es-ES"/>
        </w:rPr>
        <w:sectPr w:rsidR="00FE0A59" w:rsidRPr="00EF37CA" w:rsidSect="003E3262">
          <w:footnotePr>
            <w:numStart w:val="4"/>
          </w:footnotePr>
          <w:type w:val="continuous"/>
          <w:pgSz w:w="12240" w:h="15840"/>
          <w:pgMar w:top="1418" w:right="1134" w:bottom="1418" w:left="1134" w:header="709" w:footer="709" w:gutter="0"/>
          <w:cols w:space="567"/>
          <w:docGrid w:linePitch="360"/>
        </w:sectPr>
      </w:pPr>
    </w:p>
    <w:p w14:paraId="5C2ECAF0" w14:textId="77777777" w:rsidR="003E3262" w:rsidRPr="00A00313" w:rsidRDefault="003E3262" w:rsidP="003E3262">
      <w:pPr>
        <w:spacing w:after="240"/>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lastRenderedPageBreak/>
        <w:t xml:space="preserve">Como puede observarse en la Gráfica 2.1, según el Secretariado Ejecutivo del Sistema Nacional de Seguridad Pública, Michoacán tiene una incidencia de delitos del fuero común de alrededor de la mitad de la que se comete en el país. En el primer lustro de la presente década, la comisión de este tipo de delitos tiende a disminuir a nivel nacional y se observa hasta un 13% menos que a principios de dicho período. </w:t>
      </w:r>
    </w:p>
    <w:p w14:paraId="0A2C4B4F" w14:textId="77777777" w:rsidR="003E3262" w:rsidRPr="00A00313" w:rsidRDefault="003E3262" w:rsidP="003E3262">
      <w:pPr>
        <w:spacing w:after="240"/>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Michoacán se ha mantenido relativamente constante desde 2010, aunque para 2015 ya se observa una disminución en la tasa de incidencia delictiva de 11% con respecto al inicio del período, lo que explica que la entidad se ubique en la séptima posición dentro de los estados con menor incidencia delictiva (Gráfica 2.2). </w:t>
      </w:r>
    </w:p>
    <w:p w14:paraId="6051BB50" w14:textId="77777777" w:rsidR="003E3262" w:rsidRPr="00EF37CA" w:rsidRDefault="00EF37CA" w:rsidP="00EF37CA">
      <w:pPr>
        <w:spacing w:after="0" w:line="180" w:lineRule="exact"/>
        <w:jc w:val="center"/>
        <w:rPr>
          <w:rFonts w:ascii="GalanoGrotesque-Medium" w:eastAsia="Times New Roman" w:hAnsi="GalanoGrotesque-Medium" w:cs="Arial"/>
          <w:b/>
          <w:sz w:val="16"/>
          <w:szCs w:val="24"/>
          <w:lang w:val="es-ES" w:eastAsia="es-ES"/>
        </w:rPr>
      </w:pPr>
      <w:r>
        <w:rPr>
          <w:rFonts w:ascii="GalanoGrotesque-Medium" w:eastAsia="Times New Roman" w:hAnsi="GalanoGrotesque-Medium" w:cs="Arial"/>
          <w:b/>
          <w:sz w:val="16"/>
          <w:szCs w:val="24"/>
          <w:lang w:val="es-ES" w:eastAsia="es-ES"/>
        </w:rPr>
        <w:br w:type="column"/>
      </w:r>
      <w:r w:rsidR="003E3262" w:rsidRPr="00EF37CA">
        <w:rPr>
          <w:rFonts w:ascii="GalanoGrotesque-Medium" w:eastAsia="Times New Roman" w:hAnsi="GalanoGrotesque-Medium" w:cs="Arial"/>
          <w:b/>
          <w:sz w:val="16"/>
          <w:szCs w:val="24"/>
          <w:lang w:val="es-ES" w:eastAsia="es-ES"/>
        </w:rPr>
        <w:lastRenderedPageBreak/>
        <w:t>Gráfica 2.2</w:t>
      </w:r>
    </w:p>
    <w:p w14:paraId="3A8BCCF2" w14:textId="77777777" w:rsidR="003E3262" w:rsidRPr="00EF37CA" w:rsidRDefault="003E3262" w:rsidP="00EF37CA">
      <w:pPr>
        <w:spacing w:after="0" w:line="180" w:lineRule="exact"/>
        <w:jc w:val="center"/>
        <w:rPr>
          <w:rFonts w:ascii="GalanoGrotesque-Medium" w:eastAsia="Times New Roman" w:hAnsi="GalanoGrotesque-Medium" w:cs="Arial"/>
          <w:b/>
          <w:sz w:val="16"/>
          <w:szCs w:val="24"/>
          <w:lang w:val="es-ES" w:eastAsia="es-ES"/>
        </w:rPr>
      </w:pPr>
      <w:r w:rsidRPr="00EF37CA">
        <w:rPr>
          <w:rFonts w:ascii="GalanoGrotesque-Medium" w:eastAsia="Times New Roman" w:hAnsi="GalanoGrotesque-Medium" w:cs="Arial"/>
          <w:b/>
          <w:sz w:val="16"/>
          <w:szCs w:val="24"/>
          <w:lang w:val="es-ES" w:eastAsia="es-ES"/>
        </w:rPr>
        <w:t>Tasa de Incidencia Delictiva por cada 100 mil habitantes, 2015</w:t>
      </w:r>
    </w:p>
    <w:p w14:paraId="2042346F" w14:textId="77777777" w:rsidR="003E3262" w:rsidRPr="003E3262" w:rsidRDefault="003E3262" w:rsidP="003E3262">
      <w:pPr>
        <w:spacing w:after="240"/>
        <w:jc w:val="center"/>
        <w:rPr>
          <w:rFonts w:ascii="GalanoGrotesque-Medium" w:eastAsia="Times New Roman" w:hAnsi="GalanoGrotesque-Medium" w:cs="Arial"/>
          <w:b/>
          <w:sz w:val="24"/>
          <w:szCs w:val="24"/>
          <w:lang w:val="es-ES" w:eastAsia="es-ES"/>
        </w:rPr>
      </w:pPr>
      <w:r w:rsidRPr="003E3262">
        <w:rPr>
          <w:rFonts w:ascii="GalanoGrotesque-Medium" w:eastAsia="Times New Roman" w:hAnsi="GalanoGrotesque-Medium" w:cs="Times New Roman"/>
          <w:noProof/>
          <w:sz w:val="24"/>
          <w:szCs w:val="24"/>
          <w:lang w:val="es-ES" w:eastAsia="es-ES"/>
        </w:rPr>
        <w:drawing>
          <wp:inline distT="0" distB="0" distL="0" distR="0" wp14:anchorId="0913C0FE" wp14:editId="55DF8C97">
            <wp:extent cx="3094075" cy="3844411"/>
            <wp:effectExtent l="0" t="0" r="0" b="3810"/>
            <wp:docPr id="59423" name="Imagen 5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05516" cy="3858627"/>
                    </a:xfrm>
                    <a:prstGeom prst="rect">
                      <a:avLst/>
                    </a:prstGeom>
                  </pic:spPr>
                </pic:pic>
              </a:graphicData>
            </a:graphic>
          </wp:inline>
        </w:drawing>
      </w:r>
    </w:p>
    <w:p w14:paraId="26E25BF8" w14:textId="77777777" w:rsidR="003E3262" w:rsidRPr="00EF37CA" w:rsidRDefault="003E3262" w:rsidP="00EF37CA">
      <w:pPr>
        <w:spacing w:after="0" w:line="180" w:lineRule="exact"/>
        <w:rPr>
          <w:rFonts w:ascii="GalanoGrotesque-Regular" w:eastAsia="Times New Roman" w:hAnsi="GalanoGrotesque-Regular" w:cs="Arial"/>
          <w:sz w:val="16"/>
          <w:szCs w:val="20"/>
          <w:lang w:val="es-ES" w:eastAsia="es-ES"/>
        </w:rPr>
      </w:pPr>
      <w:r w:rsidRPr="00EF37CA">
        <w:rPr>
          <w:rFonts w:ascii="GalanoGrotesque-Regular" w:eastAsia="Times New Roman" w:hAnsi="GalanoGrotesque-Regular" w:cs="Arial"/>
          <w:sz w:val="16"/>
          <w:szCs w:val="20"/>
          <w:lang w:val="es-ES" w:eastAsia="es-ES"/>
        </w:rPr>
        <w:t>Fuente: Elaboración del Secretariado Ejecutivo del Sistema Nacional de Seguridad Pública.</w:t>
      </w:r>
    </w:p>
    <w:p w14:paraId="54EF042C" w14:textId="77777777" w:rsidR="003E3262" w:rsidRPr="003E3262" w:rsidRDefault="003E3262" w:rsidP="003E3262">
      <w:pPr>
        <w:spacing w:after="240"/>
        <w:jc w:val="center"/>
        <w:rPr>
          <w:rFonts w:ascii="GalanoGrotesque-Medium" w:eastAsia="Times New Roman" w:hAnsi="GalanoGrotesque-Medium" w:cs="Arial"/>
          <w:b/>
          <w:sz w:val="24"/>
          <w:szCs w:val="24"/>
          <w:lang w:val="es-ES" w:eastAsia="es-ES"/>
        </w:rPr>
      </w:pPr>
    </w:p>
    <w:p w14:paraId="707FE5F8" w14:textId="77777777" w:rsidR="003E3262" w:rsidRPr="00A00313" w:rsidRDefault="003E3262" w:rsidP="003E3262">
      <w:pPr>
        <w:spacing w:after="240"/>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lastRenderedPageBreak/>
        <w:t>En un análisis mensual, se observa un comportamiento estacional en 2015, con una tendencia a la baja durante los primeros 4 meses y un repunte durante el resto del año, el cual se repite en 2016; en particular, en este año se advierte una ligera tendencia a la baja respecto de los primeros meses de 2015 (Gráfica 2.3).</w:t>
      </w:r>
    </w:p>
    <w:p w14:paraId="75A66110" w14:textId="77777777" w:rsidR="00FE0A59" w:rsidRPr="00EF37CA" w:rsidRDefault="00FE0A59" w:rsidP="00EF37CA">
      <w:pPr>
        <w:spacing w:after="0" w:line="180" w:lineRule="exact"/>
        <w:jc w:val="center"/>
        <w:rPr>
          <w:rFonts w:ascii="GalanoGrotesque-Medium" w:eastAsia="Times New Roman" w:hAnsi="GalanoGrotesque-Medium" w:cs="Arial"/>
          <w:b/>
          <w:sz w:val="16"/>
          <w:szCs w:val="24"/>
          <w:lang w:val="es-ES" w:eastAsia="es-ES"/>
        </w:rPr>
      </w:pPr>
      <w:r w:rsidRPr="00EF37CA">
        <w:rPr>
          <w:rFonts w:ascii="GalanoGrotesque-Medium" w:eastAsia="Times New Roman" w:hAnsi="GalanoGrotesque-Medium" w:cs="Arial"/>
          <w:b/>
          <w:sz w:val="16"/>
          <w:szCs w:val="24"/>
          <w:lang w:val="es-ES" w:eastAsia="es-ES"/>
        </w:rPr>
        <w:t>Gráfica 2.3</w:t>
      </w:r>
    </w:p>
    <w:p w14:paraId="0AE69A54" w14:textId="77777777" w:rsidR="00FE0A59" w:rsidRPr="00EF37CA" w:rsidRDefault="00FE0A59" w:rsidP="00EF37CA">
      <w:pPr>
        <w:spacing w:after="0" w:line="180" w:lineRule="exact"/>
        <w:jc w:val="center"/>
        <w:rPr>
          <w:rFonts w:ascii="GalanoGrotesque-Medium" w:eastAsia="Times New Roman" w:hAnsi="GalanoGrotesque-Medium" w:cs="Arial"/>
          <w:b/>
          <w:sz w:val="16"/>
          <w:szCs w:val="24"/>
          <w:lang w:val="es-ES" w:eastAsia="es-ES"/>
        </w:rPr>
      </w:pPr>
      <w:r w:rsidRPr="00EF37CA">
        <w:rPr>
          <w:rFonts w:ascii="GalanoGrotesque-Medium" w:eastAsia="Times New Roman" w:hAnsi="GalanoGrotesque-Medium" w:cs="Arial"/>
          <w:b/>
          <w:sz w:val="16"/>
          <w:szCs w:val="24"/>
          <w:lang w:val="es-ES" w:eastAsia="es-ES"/>
        </w:rPr>
        <w:t>Tasa de Incidencia Delictiva del Fuero Común por cada 100 mil habitantes</w:t>
      </w:r>
    </w:p>
    <w:p w14:paraId="4BBB3134" w14:textId="77777777" w:rsidR="00FE0A59" w:rsidRPr="001E7327" w:rsidRDefault="00FE0A59" w:rsidP="00FE0A59">
      <w:pPr>
        <w:jc w:val="center"/>
        <w:rPr>
          <w:rFonts w:ascii="GalanoGrotesque-Medium" w:hAnsi="GalanoGrotesque-Medium"/>
        </w:rPr>
      </w:pPr>
      <w:r w:rsidRPr="001E7327">
        <w:rPr>
          <w:rFonts w:ascii="GalanoGrotesque-Medium" w:hAnsi="GalanoGrotesque-Medium"/>
          <w:noProof/>
          <w:lang w:val="es-ES" w:eastAsia="es-ES"/>
        </w:rPr>
        <w:drawing>
          <wp:inline distT="0" distB="0" distL="0" distR="0" wp14:anchorId="7C215F28" wp14:editId="274C8DB9">
            <wp:extent cx="3002280" cy="1276350"/>
            <wp:effectExtent l="0" t="0" r="7620" b="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5B6391" w14:textId="77777777" w:rsidR="00FE0A59" w:rsidRPr="00EF37CA" w:rsidRDefault="00FE0A59" w:rsidP="00EF37CA">
      <w:pPr>
        <w:spacing w:after="160" w:line="180" w:lineRule="exact"/>
        <w:rPr>
          <w:rFonts w:ascii="GalanoGrotesque-Regular" w:hAnsi="GalanoGrotesque-Regular" w:cs="Arial"/>
          <w:sz w:val="16"/>
          <w:szCs w:val="20"/>
        </w:rPr>
      </w:pPr>
      <w:r w:rsidRPr="00EF37CA">
        <w:rPr>
          <w:rFonts w:ascii="GalanoGrotesque-Regular" w:hAnsi="GalanoGrotesque-Regular" w:cs="Arial"/>
          <w:sz w:val="16"/>
          <w:szCs w:val="20"/>
        </w:rPr>
        <w:t>Fuente: Secretariado Ejecutivo del Sistema Nacional de Seguridad Pública.</w:t>
      </w:r>
    </w:p>
    <w:p w14:paraId="38079D0D" w14:textId="77777777" w:rsidR="00FE0A59" w:rsidRPr="00A00313" w:rsidRDefault="00FE0A59" w:rsidP="00EF37CA">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Los principales delitos donde se logró disminuir la incidencia delictiva fueron la extorsión, con una baja de 78.8%, al pasar de una tasa de 4 delitos por cada 100 mil habitantes en 2014 a sólo 0.94 en 2015, y el secuestro, que pasó de una tasa de 1.82 delitos por cada 100 mil habitantes en 2014 a 0.67 en 2015, es decir, un 63% menos delitos por cada 100 mil habitantes (Tabla 2.2).</w:t>
      </w:r>
    </w:p>
    <w:p w14:paraId="1720BA5E" w14:textId="77777777" w:rsidR="00800F4F" w:rsidRPr="00EF37CA" w:rsidRDefault="00800F4F" w:rsidP="00EF37CA">
      <w:pPr>
        <w:spacing w:after="0" w:line="180" w:lineRule="exact"/>
        <w:jc w:val="center"/>
        <w:rPr>
          <w:rFonts w:ascii="GalanoGrotesque-Medium" w:eastAsia="Times New Roman" w:hAnsi="GalanoGrotesque-Medium" w:cs="Arial"/>
          <w:b/>
          <w:sz w:val="16"/>
          <w:szCs w:val="24"/>
          <w:lang w:val="es-ES" w:eastAsia="es-ES"/>
        </w:rPr>
      </w:pPr>
      <w:r w:rsidRPr="00EF37CA">
        <w:rPr>
          <w:rFonts w:ascii="GalanoGrotesque-Medium" w:eastAsia="Times New Roman" w:hAnsi="GalanoGrotesque-Medium" w:cs="Arial"/>
          <w:b/>
          <w:sz w:val="16"/>
          <w:szCs w:val="24"/>
          <w:lang w:val="es-ES" w:eastAsia="es-ES"/>
        </w:rPr>
        <w:t>Tabla 2.2</w:t>
      </w:r>
    </w:p>
    <w:p w14:paraId="5D9A55EE" w14:textId="77777777" w:rsidR="00800F4F" w:rsidRPr="00EF37CA" w:rsidRDefault="00800F4F" w:rsidP="00EF37CA">
      <w:pPr>
        <w:spacing w:after="0" w:line="180" w:lineRule="exact"/>
        <w:jc w:val="center"/>
        <w:rPr>
          <w:rFonts w:ascii="GalanoGrotesque-Medium" w:eastAsia="Times New Roman" w:hAnsi="GalanoGrotesque-Medium" w:cs="Arial"/>
          <w:b/>
          <w:sz w:val="16"/>
          <w:szCs w:val="24"/>
          <w:lang w:val="es-ES" w:eastAsia="es-ES"/>
        </w:rPr>
      </w:pPr>
      <w:r w:rsidRPr="00EF37CA">
        <w:rPr>
          <w:rFonts w:ascii="GalanoGrotesque-Medium" w:eastAsia="Times New Roman" w:hAnsi="GalanoGrotesque-Medium" w:cs="Arial"/>
          <w:b/>
          <w:sz w:val="16"/>
          <w:szCs w:val="24"/>
          <w:lang w:val="es-ES" w:eastAsia="es-ES"/>
        </w:rPr>
        <w:t>Tasa de Incidencia Delictiva por Tipo de Delito</w:t>
      </w:r>
    </w:p>
    <w:tbl>
      <w:tblPr>
        <w:tblW w:w="4660" w:type="dxa"/>
        <w:jc w:val="center"/>
        <w:tblCellMar>
          <w:left w:w="70" w:type="dxa"/>
          <w:right w:w="70" w:type="dxa"/>
        </w:tblCellMar>
        <w:tblLook w:val="04A0" w:firstRow="1" w:lastRow="0" w:firstColumn="1" w:lastColumn="0" w:noHBand="0" w:noVBand="1"/>
      </w:tblPr>
      <w:tblGrid>
        <w:gridCol w:w="1129"/>
        <w:gridCol w:w="567"/>
        <w:gridCol w:w="567"/>
        <w:gridCol w:w="567"/>
        <w:gridCol w:w="545"/>
        <w:gridCol w:w="610"/>
        <w:gridCol w:w="696"/>
      </w:tblGrid>
      <w:tr w:rsidR="00800F4F" w:rsidRPr="00EF37CA" w14:paraId="6505FF32" w14:textId="77777777" w:rsidTr="00EF37CA">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F64A1" w14:textId="77777777" w:rsidR="00800F4F" w:rsidRPr="00EF37CA" w:rsidRDefault="00800F4F" w:rsidP="00EF37CA">
            <w:pPr>
              <w:spacing w:after="0" w:line="240" w:lineRule="auto"/>
              <w:ind w:left="-199" w:firstLine="199"/>
              <w:jc w:val="both"/>
              <w:rPr>
                <w:rFonts w:ascii="GalanoGrotesque-Medium" w:eastAsia="Times New Roman" w:hAnsi="GalanoGrotesque-Medium" w:cs="Times New Roman"/>
                <w:color w:val="000000"/>
                <w:sz w:val="16"/>
                <w:lang w:eastAsia="es-MX"/>
              </w:rPr>
            </w:pPr>
            <w:r w:rsidRPr="00EF37CA">
              <w:rPr>
                <w:rFonts w:ascii="Calibri" w:eastAsia="Times New Roman" w:hAnsi="Calibri" w:cs="Calibri"/>
                <w:color w:val="000000"/>
                <w:sz w:val="16"/>
                <w:lang w:eastAsia="es-MX"/>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9242DD0"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b/>
                <w:bCs/>
                <w:color w:val="000000"/>
                <w:sz w:val="16"/>
                <w:lang w:eastAsia="es-MX"/>
              </w:rPr>
            </w:pPr>
            <w:r w:rsidRPr="00EF37CA">
              <w:rPr>
                <w:rFonts w:ascii="GalanoGrotesque-Medium" w:eastAsia="Times New Roman" w:hAnsi="GalanoGrotesque-Medium" w:cs="Times New Roman"/>
                <w:b/>
                <w:bCs/>
                <w:color w:val="000000"/>
                <w:sz w:val="16"/>
                <w:lang w:eastAsia="es-MX"/>
              </w:rPr>
              <w:t>2010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BFE3651"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b/>
                <w:bCs/>
                <w:color w:val="000000"/>
                <w:sz w:val="16"/>
                <w:lang w:eastAsia="es-MX"/>
              </w:rPr>
            </w:pPr>
            <w:r w:rsidRPr="00EF37CA">
              <w:rPr>
                <w:rFonts w:ascii="GalanoGrotesque-Medium" w:eastAsia="Times New Roman" w:hAnsi="GalanoGrotesque-Medium" w:cs="Times New Roman"/>
                <w:b/>
                <w:bCs/>
                <w:color w:val="000000"/>
                <w:sz w:val="16"/>
                <w:lang w:eastAsia="es-MX"/>
              </w:rPr>
              <w:t>2011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768C47"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b/>
                <w:bCs/>
                <w:color w:val="000000"/>
                <w:sz w:val="16"/>
                <w:lang w:eastAsia="es-MX"/>
              </w:rPr>
            </w:pPr>
            <w:r w:rsidRPr="00EF37CA">
              <w:rPr>
                <w:rFonts w:ascii="GalanoGrotesque-Medium" w:eastAsia="Times New Roman" w:hAnsi="GalanoGrotesque-Medium" w:cs="Times New Roman"/>
                <w:b/>
                <w:bCs/>
                <w:color w:val="000000"/>
                <w:sz w:val="16"/>
                <w:lang w:eastAsia="es-MX"/>
              </w:rPr>
              <w:t>2012</w:t>
            </w:r>
          </w:p>
        </w:tc>
        <w:tc>
          <w:tcPr>
            <w:tcW w:w="524" w:type="dxa"/>
            <w:tcBorders>
              <w:top w:val="single" w:sz="4" w:space="0" w:color="auto"/>
              <w:left w:val="nil"/>
              <w:bottom w:val="single" w:sz="4" w:space="0" w:color="auto"/>
              <w:right w:val="single" w:sz="4" w:space="0" w:color="auto"/>
            </w:tcBorders>
            <w:shd w:val="clear" w:color="auto" w:fill="auto"/>
            <w:noWrap/>
            <w:vAlign w:val="bottom"/>
            <w:hideMark/>
          </w:tcPr>
          <w:p w14:paraId="48F06B3D"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b/>
                <w:bCs/>
                <w:color w:val="000000"/>
                <w:sz w:val="16"/>
                <w:lang w:eastAsia="es-MX"/>
              </w:rPr>
            </w:pPr>
            <w:r w:rsidRPr="00EF37CA">
              <w:rPr>
                <w:rFonts w:ascii="GalanoGrotesque-Medium" w:eastAsia="Times New Roman" w:hAnsi="GalanoGrotesque-Medium" w:cs="Times New Roman"/>
                <w:b/>
                <w:bCs/>
                <w:color w:val="000000"/>
                <w:sz w:val="16"/>
                <w:lang w:eastAsia="es-MX"/>
              </w:rPr>
              <w:t>2013</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4A4EEF48"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b/>
                <w:bCs/>
                <w:color w:val="000000"/>
                <w:sz w:val="16"/>
                <w:lang w:eastAsia="es-MX"/>
              </w:rPr>
            </w:pPr>
            <w:r w:rsidRPr="00EF37CA">
              <w:rPr>
                <w:rFonts w:ascii="GalanoGrotesque-Medium" w:eastAsia="Times New Roman" w:hAnsi="GalanoGrotesque-Medium" w:cs="Times New Roman"/>
                <w:b/>
                <w:bCs/>
                <w:color w:val="000000"/>
                <w:sz w:val="16"/>
                <w:lang w:eastAsia="es-MX"/>
              </w:rPr>
              <w:t>2014</w:t>
            </w:r>
          </w:p>
        </w:tc>
        <w:tc>
          <w:tcPr>
            <w:tcW w:w="696" w:type="dxa"/>
            <w:tcBorders>
              <w:top w:val="single" w:sz="4" w:space="0" w:color="auto"/>
              <w:left w:val="nil"/>
              <w:bottom w:val="single" w:sz="4" w:space="0" w:color="auto"/>
              <w:right w:val="single" w:sz="4" w:space="0" w:color="auto"/>
            </w:tcBorders>
            <w:shd w:val="clear" w:color="auto" w:fill="auto"/>
            <w:noWrap/>
            <w:vAlign w:val="bottom"/>
            <w:hideMark/>
          </w:tcPr>
          <w:p w14:paraId="513E7B1E"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b/>
                <w:bCs/>
                <w:color w:val="000000"/>
                <w:sz w:val="16"/>
                <w:lang w:eastAsia="es-MX"/>
              </w:rPr>
            </w:pPr>
            <w:r w:rsidRPr="00EF37CA">
              <w:rPr>
                <w:rFonts w:ascii="GalanoGrotesque-Medium" w:eastAsia="Times New Roman" w:hAnsi="GalanoGrotesque-Medium" w:cs="Times New Roman"/>
                <w:b/>
                <w:bCs/>
                <w:color w:val="000000"/>
                <w:sz w:val="16"/>
                <w:lang w:eastAsia="es-MX"/>
              </w:rPr>
              <w:t>2015</w:t>
            </w:r>
          </w:p>
        </w:tc>
      </w:tr>
      <w:tr w:rsidR="00800F4F" w:rsidRPr="00EF37CA" w14:paraId="54F57412" w14:textId="77777777" w:rsidTr="00EF37CA">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321BFE14" w14:textId="77777777" w:rsidR="00800F4F" w:rsidRPr="00EF37CA" w:rsidRDefault="00800F4F" w:rsidP="00EF37CA">
            <w:pPr>
              <w:spacing w:after="0" w:line="240" w:lineRule="auto"/>
              <w:ind w:left="-199" w:firstLine="199"/>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Extorsión</w:t>
            </w:r>
          </w:p>
        </w:tc>
        <w:tc>
          <w:tcPr>
            <w:tcW w:w="567" w:type="dxa"/>
            <w:tcBorders>
              <w:top w:val="nil"/>
              <w:left w:val="nil"/>
              <w:bottom w:val="single" w:sz="4" w:space="0" w:color="auto"/>
              <w:right w:val="single" w:sz="4" w:space="0" w:color="auto"/>
            </w:tcBorders>
            <w:shd w:val="clear" w:color="auto" w:fill="auto"/>
            <w:noWrap/>
            <w:vAlign w:val="bottom"/>
            <w:hideMark/>
          </w:tcPr>
          <w:p w14:paraId="76EF01BB"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4.0</w:t>
            </w:r>
          </w:p>
        </w:tc>
        <w:tc>
          <w:tcPr>
            <w:tcW w:w="567" w:type="dxa"/>
            <w:tcBorders>
              <w:top w:val="nil"/>
              <w:left w:val="nil"/>
              <w:bottom w:val="single" w:sz="4" w:space="0" w:color="auto"/>
              <w:right w:val="single" w:sz="4" w:space="0" w:color="auto"/>
            </w:tcBorders>
            <w:shd w:val="clear" w:color="auto" w:fill="auto"/>
            <w:noWrap/>
            <w:vAlign w:val="bottom"/>
            <w:hideMark/>
          </w:tcPr>
          <w:p w14:paraId="4A22532D"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4.0</w:t>
            </w:r>
          </w:p>
        </w:tc>
        <w:tc>
          <w:tcPr>
            <w:tcW w:w="567" w:type="dxa"/>
            <w:tcBorders>
              <w:top w:val="nil"/>
              <w:left w:val="nil"/>
              <w:bottom w:val="single" w:sz="4" w:space="0" w:color="auto"/>
              <w:right w:val="single" w:sz="4" w:space="0" w:color="auto"/>
            </w:tcBorders>
            <w:shd w:val="clear" w:color="auto" w:fill="auto"/>
            <w:noWrap/>
            <w:vAlign w:val="bottom"/>
            <w:hideMark/>
          </w:tcPr>
          <w:p w14:paraId="21DDC316"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8.0</w:t>
            </w:r>
          </w:p>
        </w:tc>
        <w:tc>
          <w:tcPr>
            <w:tcW w:w="524" w:type="dxa"/>
            <w:tcBorders>
              <w:top w:val="nil"/>
              <w:left w:val="nil"/>
              <w:bottom w:val="single" w:sz="4" w:space="0" w:color="auto"/>
              <w:right w:val="single" w:sz="4" w:space="0" w:color="auto"/>
            </w:tcBorders>
            <w:shd w:val="clear" w:color="auto" w:fill="auto"/>
            <w:noWrap/>
            <w:vAlign w:val="bottom"/>
            <w:hideMark/>
          </w:tcPr>
          <w:p w14:paraId="5391DF62"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6.0</w:t>
            </w:r>
          </w:p>
        </w:tc>
        <w:tc>
          <w:tcPr>
            <w:tcW w:w="610" w:type="dxa"/>
            <w:tcBorders>
              <w:top w:val="nil"/>
              <w:left w:val="nil"/>
              <w:bottom w:val="single" w:sz="4" w:space="0" w:color="auto"/>
              <w:right w:val="single" w:sz="4" w:space="0" w:color="auto"/>
            </w:tcBorders>
            <w:shd w:val="clear" w:color="auto" w:fill="auto"/>
            <w:noWrap/>
            <w:vAlign w:val="bottom"/>
            <w:hideMark/>
          </w:tcPr>
          <w:p w14:paraId="1E339BE1"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4.0</w:t>
            </w:r>
          </w:p>
        </w:tc>
        <w:tc>
          <w:tcPr>
            <w:tcW w:w="696" w:type="dxa"/>
            <w:tcBorders>
              <w:top w:val="nil"/>
              <w:left w:val="nil"/>
              <w:bottom w:val="single" w:sz="4" w:space="0" w:color="auto"/>
              <w:right w:val="single" w:sz="4" w:space="0" w:color="auto"/>
            </w:tcBorders>
            <w:shd w:val="clear" w:color="auto" w:fill="auto"/>
            <w:noWrap/>
            <w:vAlign w:val="bottom"/>
            <w:hideMark/>
          </w:tcPr>
          <w:p w14:paraId="3CEFC215"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0.9</w:t>
            </w:r>
          </w:p>
        </w:tc>
      </w:tr>
      <w:tr w:rsidR="00800F4F" w:rsidRPr="00EF37CA" w14:paraId="6383A751" w14:textId="77777777" w:rsidTr="00EF37CA">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6772CB93" w14:textId="77777777" w:rsidR="00800F4F" w:rsidRPr="00EF37CA" w:rsidRDefault="00800F4F" w:rsidP="00EF37CA">
            <w:pPr>
              <w:spacing w:after="0" w:line="240" w:lineRule="auto"/>
              <w:ind w:left="-199" w:firstLine="199"/>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Secuestro</w:t>
            </w:r>
          </w:p>
        </w:tc>
        <w:tc>
          <w:tcPr>
            <w:tcW w:w="567" w:type="dxa"/>
            <w:tcBorders>
              <w:top w:val="nil"/>
              <w:left w:val="nil"/>
              <w:bottom w:val="single" w:sz="4" w:space="0" w:color="auto"/>
              <w:right w:val="single" w:sz="4" w:space="0" w:color="auto"/>
            </w:tcBorders>
            <w:shd w:val="clear" w:color="auto" w:fill="auto"/>
            <w:noWrap/>
            <w:vAlign w:val="bottom"/>
            <w:hideMark/>
          </w:tcPr>
          <w:p w14:paraId="39F8BBF7"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3.1</w:t>
            </w:r>
          </w:p>
        </w:tc>
        <w:tc>
          <w:tcPr>
            <w:tcW w:w="567" w:type="dxa"/>
            <w:tcBorders>
              <w:top w:val="nil"/>
              <w:left w:val="nil"/>
              <w:bottom w:val="single" w:sz="4" w:space="0" w:color="auto"/>
              <w:right w:val="single" w:sz="4" w:space="0" w:color="auto"/>
            </w:tcBorders>
            <w:shd w:val="clear" w:color="auto" w:fill="auto"/>
            <w:noWrap/>
            <w:vAlign w:val="bottom"/>
            <w:hideMark/>
          </w:tcPr>
          <w:p w14:paraId="164FCC59"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2.9</w:t>
            </w:r>
          </w:p>
        </w:tc>
        <w:tc>
          <w:tcPr>
            <w:tcW w:w="567" w:type="dxa"/>
            <w:tcBorders>
              <w:top w:val="nil"/>
              <w:left w:val="nil"/>
              <w:bottom w:val="single" w:sz="4" w:space="0" w:color="auto"/>
              <w:right w:val="single" w:sz="4" w:space="0" w:color="auto"/>
            </w:tcBorders>
            <w:shd w:val="clear" w:color="auto" w:fill="auto"/>
            <w:noWrap/>
            <w:vAlign w:val="bottom"/>
            <w:hideMark/>
          </w:tcPr>
          <w:p w14:paraId="0E5F2F1A"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3.0</w:t>
            </w:r>
          </w:p>
        </w:tc>
        <w:tc>
          <w:tcPr>
            <w:tcW w:w="524" w:type="dxa"/>
            <w:tcBorders>
              <w:top w:val="nil"/>
              <w:left w:val="nil"/>
              <w:bottom w:val="single" w:sz="4" w:space="0" w:color="auto"/>
              <w:right w:val="single" w:sz="4" w:space="0" w:color="auto"/>
            </w:tcBorders>
            <w:shd w:val="clear" w:color="auto" w:fill="auto"/>
            <w:noWrap/>
            <w:vAlign w:val="bottom"/>
            <w:hideMark/>
          </w:tcPr>
          <w:p w14:paraId="749EB7D5"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4.3</w:t>
            </w:r>
          </w:p>
        </w:tc>
        <w:tc>
          <w:tcPr>
            <w:tcW w:w="610" w:type="dxa"/>
            <w:tcBorders>
              <w:top w:val="nil"/>
              <w:left w:val="nil"/>
              <w:bottom w:val="single" w:sz="4" w:space="0" w:color="auto"/>
              <w:right w:val="single" w:sz="4" w:space="0" w:color="auto"/>
            </w:tcBorders>
            <w:shd w:val="clear" w:color="auto" w:fill="auto"/>
            <w:noWrap/>
            <w:vAlign w:val="bottom"/>
            <w:hideMark/>
          </w:tcPr>
          <w:p w14:paraId="07FF59D9"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1.8</w:t>
            </w:r>
          </w:p>
        </w:tc>
        <w:tc>
          <w:tcPr>
            <w:tcW w:w="696" w:type="dxa"/>
            <w:tcBorders>
              <w:top w:val="nil"/>
              <w:left w:val="nil"/>
              <w:bottom w:val="single" w:sz="4" w:space="0" w:color="auto"/>
              <w:right w:val="single" w:sz="4" w:space="0" w:color="auto"/>
            </w:tcBorders>
            <w:shd w:val="clear" w:color="auto" w:fill="auto"/>
            <w:noWrap/>
            <w:vAlign w:val="bottom"/>
            <w:hideMark/>
          </w:tcPr>
          <w:p w14:paraId="6A2689DC"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0.7</w:t>
            </w:r>
          </w:p>
        </w:tc>
      </w:tr>
      <w:tr w:rsidR="00800F4F" w:rsidRPr="00EF37CA" w14:paraId="19FE7E62" w14:textId="77777777" w:rsidTr="00EF37CA">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4CB6CBEE" w14:textId="77777777" w:rsidR="00800F4F" w:rsidRPr="00EF37CA" w:rsidRDefault="00800F4F" w:rsidP="00EF37CA">
            <w:pPr>
              <w:spacing w:after="0" w:line="240" w:lineRule="auto"/>
              <w:ind w:left="-199" w:firstLine="199"/>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Homicidios</w:t>
            </w:r>
          </w:p>
        </w:tc>
        <w:tc>
          <w:tcPr>
            <w:tcW w:w="567" w:type="dxa"/>
            <w:tcBorders>
              <w:top w:val="nil"/>
              <w:left w:val="nil"/>
              <w:bottom w:val="single" w:sz="4" w:space="0" w:color="auto"/>
              <w:right w:val="single" w:sz="4" w:space="0" w:color="auto"/>
            </w:tcBorders>
            <w:shd w:val="clear" w:color="auto" w:fill="auto"/>
            <w:noWrap/>
            <w:vAlign w:val="bottom"/>
            <w:hideMark/>
          </w:tcPr>
          <w:p w14:paraId="1BBA4CD2"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15.0</w:t>
            </w:r>
          </w:p>
        </w:tc>
        <w:tc>
          <w:tcPr>
            <w:tcW w:w="567" w:type="dxa"/>
            <w:tcBorders>
              <w:top w:val="nil"/>
              <w:left w:val="nil"/>
              <w:bottom w:val="single" w:sz="4" w:space="0" w:color="auto"/>
              <w:right w:val="single" w:sz="4" w:space="0" w:color="auto"/>
            </w:tcBorders>
            <w:shd w:val="clear" w:color="auto" w:fill="auto"/>
            <w:noWrap/>
            <w:vAlign w:val="bottom"/>
            <w:hideMark/>
          </w:tcPr>
          <w:p w14:paraId="5521C238"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17.0</w:t>
            </w:r>
          </w:p>
        </w:tc>
        <w:tc>
          <w:tcPr>
            <w:tcW w:w="567" w:type="dxa"/>
            <w:tcBorders>
              <w:top w:val="nil"/>
              <w:left w:val="nil"/>
              <w:bottom w:val="single" w:sz="4" w:space="0" w:color="auto"/>
              <w:right w:val="single" w:sz="4" w:space="0" w:color="auto"/>
            </w:tcBorders>
            <w:shd w:val="clear" w:color="auto" w:fill="auto"/>
            <w:noWrap/>
            <w:vAlign w:val="bottom"/>
            <w:hideMark/>
          </w:tcPr>
          <w:p w14:paraId="0B24C573"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17.0</w:t>
            </w:r>
          </w:p>
        </w:tc>
        <w:tc>
          <w:tcPr>
            <w:tcW w:w="524" w:type="dxa"/>
            <w:tcBorders>
              <w:top w:val="nil"/>
              <w:left w:val="nil"/>
              <w:bottom w:val="single" w:sz="4" w:space="0" w:color="auto"/>
              <w:right w:val="single" w:sz="4" w:space="0" w:color="auto"/>
            </w:tcBorders>
            <w:shd w:val="clear" w:color="auto" w:fill="auto"/>
            <w:noWrap/>
            <w:vAlign w:val="bottom"/>
            <w:hideMark/>
          </w:tcPr>
          <w:p w14:paraId="1CB77DDC"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19.0</w:t>
            </w:r>
          </w:p>
        </w:tc>
        <w:tc>
          <w:tcPr>
            <w:tcW w:w="610" w:type="dxa"/>
            <w:tcBorders>
              <w:top w:val="nil"/>
              <w:left w:val="nil"/>
              <w:bottom w:val="single" w:sz="4" w:space="0" w:color="auto"/>
              <w:right w:val="single" w:sz="4" w:space="0" w:color="auto"/>
            </w:tcBorders>
            <w:shd w:val="clear" w:color="auto" w:fill="auto"/>
            <w:noWrap/>
            <w:vAlign w:val="bottom"/>
            <w:hideMark/>
          </w:tcPr>
          <w:p w14:paraId="4664136C"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20.0</w:t>
            </w:r>
          </w:p>
        </w:tc>
        <w:tc>
          <w:tcPr>
            <w:tcW w:w="696" w:type="dxa"/>
            <w:tcBorders>
              <w:top w:val="nil"/>
              <w:left w:val="nil"/>
              <w:bottom w:val="single" w:sz="4" w:space="0" w:color="auto"/>
              <w:right w:val="single" w:sz="4" w:space="0" w:color="auto"/>
            </w:tcBorders>
            <w:shd w:val="clear" w:color="auto" w:fill="auto"/>
            <w:noWrap/>
            <w:vAlign w:val="bottom"/>
            <w:hideMark/>
          </w:tcPr>
          <w:p w14:paraId="084A0069"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16.9</w:t>
            </w:r>
          </w:p>
        </w:tc>
      </w:tr>
      <w:tr w:rsidR="00800F4F" w:rsidRPr="00EF37CA" w14:paraId="32475F7C" w14:textId="77777777" w:rsidTr="00EF37CA">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53433EF5" w14:textId="77777777" w:rsidR="00800F4F" w:rsidRPr="00EF37CA" w:rsidRDefault="00800F4F" w:rsidP="00EF37CA">
            <w:pPr>
              <w:spacing w:after="0" w:line="240" w:lineRule="auto"/>
              <w:ind w:left="-199" w:firstLine="199"/>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Robo de vehículos con violencia</w:t>
            </w:r>
          </w:p>
        </w:tc>
        <w:tc>
          <w:tcPr>
            <w:tcW w:w="567" w:type="dxa"/>
            <w:tcBorders>
              <w:top w:val="nil"/>
              <w:left w:val="nil"/>
              <w:bottom w:val="single" w:sz="4" w:space="0" w:color="auto"/>
              <w:right w:val="single" w:sz="4" w:space="0" w:color="auto"/>
            </w:tcBorders>
            <w:shd w:val="clear" w:color="auto" w:fill="auto"/>
            <w:noWrap/>
            <w:vAlign w:val="bottom"/>
            <w:hideMark/>
          </w:tcPr>
          <w:p w14:paraId="55D3102C"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13.1</w:t>
            </w:r>
          </w:p>
        </w:tc>
        <w:tc>
          <w:tcPr>
            <w:tcW w:w="567" w:type="dxa"/>
            <w:tcBorders>
              <w:top w:val="nil"/>
              <w:left w:val="nil"/>
              <w:bottom w:val="single" w:sz="4" w:space="0" w:color="auto"/>
              <w:right w:val="single" w:sz="4" w:space="0" w:color="auto"/>
            </w:tcBorders>
            <w:shd w:val="clear" w:color="auto" w:fill="auto"/>
            <w:noWrap/>
            <w:vAlign w:val="bottom"/>
            <w:hideMark/>
          </w:tcPr>
          <w:p w14:paraId="1D2059A7"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19.7</w:t>
            </w:r>
          </w:p>
        </w:tc>
        <w:tc>
          <w:tcPr>
            <w:tcW w:w="567" w:type="dxa"/>
            <w:tcBorders>
              <w:top w:val="nil"/>
              <w:left w:val="nil"/>
              <w:bottom w:val="single" w:sz="4" w:space="0" w:color="auto"/>
              <w:right w:val="single" w:sz="4" w:space="0" w:color="auto"/>
            </w:tcBorders>
            <w:shd w:val="clear" w:color="auto" w:fill="auto"/>
            <w:noWrap/>
            <w:vAlign w:val="bottom"/>
            <w:hideMark/>
          </w:tcPr>
          <w:p w14:paraId="7D1C2432"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25.1</w:t>
            </w:r>
          </w:p>
        </w:tc>
        <w:tc>
          <w:tcPr>
            <w:tcW w:w="524" w:type="dxa"/>
            <w:tcBorders>
              <w:top w:val="nil"/>
              <w:left w:val="nil"/>
              <w:bottom w:val="single" w:sz="4" w:space="0" w:color="auto"/>
              <w:right w:val="single" w:sz="4" w:space="0" w:color="auto"/>
            </w:tcBorders>
            <w:shd w:val="clear" w:color="auto" w:fill="auto"/>
            <w:noWrap/>
            <w:vAlign w:val="bottom"/>
            <w:hideMark/>
          </w:tcPr>
          <w:p w14:paraId="3BA58BC6"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31.7</w:t>
            </w:r>
          </w:p>
        </w:tc>
        <w:tc>
          <w:tcPr>
            <w:tcW w:w="610" w:type="dxa"/>
            <w:tcBorders>
              <w:top w:val="nil"/>
              <w:left w:val="nil"/>
              <w:bottom w:val="single" w:sz="4" w:space="0" w:color="auto"/>
              <w:right w:val="single" w:sz="4" w:space="0" w:color="auto"/>
            </w:tcBorders>
            <w:shd w:val="clear" w:color="auto" w:fill="auto"/>
            <w:noWrap/>
            <w:vAlign w:val="bottom"/>
            <w:hideMark/>
          </w:tcPr>
          <w:p w14:paraId="58EFFD46"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29.1</w:t>
            </w:r>
          </w:p>
        </w:tc>
        <w:tc>
          <w:tcPr>
            <w:tcW w:w="696" w:type="dxa"/>
            <w:tcBorders>
              <w:top w:val="nil"/>
              <w:left w:val="nil"/>
              <w:bottom w:val="single" w:sz="4" w:space="0" w:color="auto"/>
              <w:right w:val="single" w:sz="4" w:space="0" w:color="auto"/>
            </w:tcBorders>
            <w:shd w:val="clear" w:color="auto" w:fill="auto"/>
            <w:noWrap/>
            <w:vAlign w:val="bottom"/>
            <w:hideMark/>
          </w:tcPr>
          <w:p w14:paraId="09D4582D"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29.5</w:t>
            </w:r>
          </w:p>
        </w:tc>
      </w:tr>
      <w:tr w:rsidR="00800F4F" w:rsidRPr="00EF37CA" w14:paraId="52845D56" w14:textId="77777777" w:rsidTr="00EF37CA">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14:paraId="7726E72B" w14:textId="77777777" w:rsidR="00800F4F" w:rsidRPr="00EF37CA" w:rsidRDefault="00800F4F" w:rsidP="00EF37CA">
            <w:pPr>
              <w:spacing w:after="0" w:line="240" w:lineRule="auto"/>
              <w:ind w:left="-199" w:firstLine="199"/>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Robo de vehículos sin violencia</w:t>
            </w:r>
          </w:p>
        </w:tc>
        <w:tc>
          <w:tcPr>
            <w:tcW w:w="567" w:type="dxa"/>
            <w:tcBorders>
              <w:top w:val="nil"/>
              <w:left w:val="nil"/>
              <w:bottom w:val="single" w:sz="4" w:space="0" w:color="auto"/>
              <w:right w:val="single" w:sz="4" w:space="0" w:color="auto"/>
            </w:tcBorders>
            <w:shd w:val="clear" w:color="auto" w:fill="auto"/>
            <w:noWrap/>
            <w:vAlign w:val="bottom"/>
            <w:hideMark/>
          </w:tcPr>
          <w:p w14:paraId="2A7F55A2"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105.0</w:t>
            </w:r>
          </w:p>
        </w:tc>
        <w:tc>
          <w:tcPr>
            <w:tcW w:w="567" w:type="dxa"/>
            <w:tcBorders>
              <w:top w:val="nil"/>
              <w:left w:val="nil"/>
              <w:bottom w:val="single" w:sz="4" w:space="0" w:color="auto"/>
              <w:right w:val="single" w:sz="4" w:space="0" w:color="auto"/>
            </w:tcBorders>
            <w:shd w:val="clear" w:color="auto" w:fill="auto"/>
            <w:noWrap/>
            <w:vAlign w:val="bottom"/>
            <w:hideMark/>
          </w:tcPr>
          <w:p w14:paraId="7204E8D0"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114.0</w:t>
            </w:r>
          </w:p>
        </w:tc>
        <w:tc>
          <w:tcPr>
            <w:tcW w:w="567" w:type="dxa"/>
            <w:tcBorders>
              <w:top w:val="nil"/>
              <w:left w:val="nil"/>
              <w:bottom w:val="single" w:sz="4" w:space="0" w:color="auto"/>
              <w:right w:val="single" w:sz="4" w:space="0" w:color="auto"/>
            </w:tcBorders>
            <w:shd w:val="clear" w:color="auto" w:fill="auto"/>
            <w:noWrap/>
            <w:vAlign w:val="bottom"/>
            <w:hideMark/>
          </w:tcPr>
          <w:p w14:paraId="41645FE9"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120.0</w:t>
            </w:r>
          </w:p>
        </w:tc>
        <w:tc>
          <w:tcPr>
            <w:tcW w:w="524" w:type="dxa"/>
            <w:tcBorders>
              <w:top w:val="nil"/>
              <w:left w:val="nil"/>
              <w:bottom w:val="single" w:sz="4" w:space="0" w:color="auto"/>
              <w:right w:val="single" w:sz="4" w:space="0" w:color="auto"/>
            </w:tcBorders>
            <w:shd w:val="clear" w:color="auto" w:fill="auto"/>
            <w:noWrap/>
            <w:vAlign w:val="bottom"/>
            <w:hideMark/>
          </w:tcPr>
          <w:p w14:paraId="42C03A4C"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106.0</w:t>
            </w:r>
          </w:p>
        </w:tc>
        <w:tc>
          <w:tcPr>
            <w:tcW w:w="610" w:type="dxa"/>
            <w:tcBorders>
              <w:top w:val="nil"/>
              <w:left w:val="nil"/>
              <w:bottom w:val="single" w:sz="4" w:space="0" w:color="auto"/>
              <w:right w:val="single" w:sz="4" w:space="0" w:color="auto"/>
            </w:tcBorders>
            <w:shd w:val="clear" w:color="auto" w:fill="auto"/>
            <w:noWrap/>
            <w:vAlign w:val="bottom"/>
            <w:hideMark/>
          </w:tcPr>
          <w:p w14:paraId="6389487A"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108.0</w:t>
            </w:r>
          </w:p>
        </w:tc>
        <w:tc>
          <w:tcPr>
            <w:tcW w:w="696" w:type="dxa"/>
            <w:tcBorders>
              <w:top w:val="nil"/>
              <w:left w:val="nil"/>
              <w:bottom w:val="single" w:sz="4" w:space="0" w:color="auto"/>
              <w:right w:val="single" w:sz="4" w:space="0" w:color="auto"/>
            </w:tcBorders>
            <w:shd w:val="clear" w:color="auto" w:fill="auto"/>
            <w:noWrap/>
            <w:vAlign w:val="bottom"/>
            <w:hideMark/>
          </w:tcPr>
          <w:p w14:paraId="24AE6C7A" w14:textId="77777777" w:rsidR="00800F4F" w:rsidRPr="00EF37CA" w:rsidRDefault="00800F4F" w:rsidP="00EF37CA">
            <w:pPr>
              <w:spacing w:after="0" w:line="240" w:lineRule="auto"/>
              <w:ind w:left="-199" w:firstLine="199"/>
              <w:jc w:val="center"/>
              <w:rPr>
                <w:rFonts w:ascii="GalanoGrotesque-Medium" w:eastAsia="Times New Roman" w:hAnsi="GalanoGrotesque-Medium" w:cs="Times New Roman"/>
                <w:color w:val="000000"/>
                <w:sz w:val="16"/>
                <w:lang w:eastAsia="es-MX"/>
              </w:rPr>
            </w:pPr>
            <w:r w:rsidRPr="00EF37CA">
              <w:rPr>
                <w:rFonts w:ascii="GalanoGrotesque-Medium" w:eastAsia="Times New Roman" w:hAnsi="GalanoGrotesque-Medium" w:cs="Times New Roman"/>
                <w:color w:val="000000"/>
                <w:sz w:val="16"/>
                <w:lang w:eastAsia="es-MX"/>
              </w:rPr>
              <w:t>95.3</w:t>
            </w:r>
          </w:p>
        </w:tc>
      </w:tr>
    </w:tbl>
    <w:p w14:paraId="3AFD7DFD" w14:textId="77777777" w:rsidR="00800F4F" w:rsidRPr="00EF37CA" w:rsidRDefault="00800F4F" w:rsidP="00EF37CA">
      <w:pPr>
        <w:spacing w:after="160" w:line="180" w:lineRule="exact"/>
        <w:rPr>
          <w:rFonts w:ascii="GalanoGrotesque-Regular" w:hAnsi="GalanoGrotesque-Regular" w:cs="Arial"/>
          <w:sz w:val="16"/>
          <w:szCs w:val="20"/>
        </w:rPr>
      </w:pPr>
      <w:r w:rsidRPr="00EF37CA">
        <w:rPr>
          <w:rFonts w:ascii="GalanoGrotesque-Regular" w:hAnsi="GalanoGrotesque-Regular" w:cs="Arial"/>
          <w:sz w:val="16"/>
          <w:szCs w:val="20"/>
        </w:rPr>
        <w:t>Fuente: Secretariado Ejecutivo del Sistema Nacional de Seguridad Pública.</w:t>
      </w:r>
    </w:p>
    <w:p w14:paraId="29D73345"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Un indicador que aporta información valiosa en el tema a nivel internacional, es el Índice Global de Impunidad, recientemente publicado por la Universidad de las Américas de Puebla. Este indicador analiza el fenómeno de la impunidad en varias dimensiones del quehacer de los países, como la responsabilidad de la seguridad ciudadana, la </w:t>
      </w:r>
      <w:r w:rsidRPr="00A00313">
        <w:rPr>
          <w:rFonts w:ascii="MyriadPro-Regular" w:hAnsi="MyriadPro-Regular" w:cs="MyriadPro-Regular"/>
          <w:color w:val="414142"/>
          <w:sz w:val="20"/>
          <w:szCs w:val="20"/>
        </w:rPr>
        <w:lastRenderedPageBreak/>
        <w:t>procuración y la administración de justicia, el buen funcionamiento del sistema penitenciario, así como la protección de los derechos humanos.</w:t>
      </w:r>
    </w:p>
    <w:p w14:paraId="3FD6A82C"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Este indicador muestra que en materia de impunidad, México ocupa la posición 58 (el penúltimo lugar) entre los 59 países para los cuales se estimó este indicador. Por su parte, Michoacán está en la media nacional, posicionándose en el grado 3 del citado indicador -impunidad alta.</w:t>
      </w:r>
    </w:p>
    <w:p w14:paraId="28FE6C1D"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Es importante señalar que en este estudio se indica que hay un sesgo en la información aportada por Michoacán sobre seguridad y justicia, por lo que no se tiene certeza de que éste se ubique en el vigésimo lugar.</w:t>
      </w:r>
    </w:p>
    <w:p w14:paraId="43865CFE" w14:textId="77777777" w:rsidR="00800F4F" w:rsidRPr="002143B6" w:rsidRDefault="00800F4F" w:rsidP="00800F4F">
      <w:pPr>
        <w:widowControl w:val="0"/>
        <w:autoSpaceDE w:val="0"/>
        <w:autoSpaceDN w:val="0"/>
        <w:adjustRightInd w:val="0"/>
        <w:spacing w:after="0" w:line="240" w:lineRule="atLeast"/>
        <w:jc w:val="center"/>
        <w:rPr>
          <w:rFonts w:ascii="GalanoGrotesque-Medium" w:eastAsia="Times New Roman" w:hAnsi="GalanoGrotesque-Medium" w:cs="Arial"/>
          <w:b/>
          <w:sz w:val="16"/>
          <w:szCs w:val="24"/>
          <w:lang w:val="es-ES" w:eastAsia="es-ES"/>
        </w:rPr>
      </w:pPr>
      <w:r w:rsidRPr="002143B6">
        <w:rPr>
          <w:rFonts w:ascii="GalanoGrotesque-Medium" w:eastAsia="Times New Roman" w:hAnsi="GalanoGrotesque-Medium" w:cs="Arial"/>
          <w:b/>
          <w:sz w:val="16"/>
          <w:szCs w:val="24"/>
          <w:lang w:val="es-ES" w:eastAsia="es-ES"/>
        </w:rPr>
        <w:t>Gráfica 2.4</w:t>
      </w:r>
    </w:p>
    <w:p w14:paraId="14AA488E" w14:textId="77777777" w:rsidR="00800F4F" w:rsidRPr="002143B6" w:rsidRDefault="00800F4F" w:rsidP="00800F4F">
      <w:pPr>
        <w:spacing w:after="0"/>
        <w:jc w:val="center"/>
        <w:rPr>
          <w:rFonts w:ascii="GalanoGrotesque-Medium" w:eastAsia="Times New Roman" w:hAnsi="GalanoGrotesque-Medium" w:cs="Arial"/>
          <w:b/>
          <w:sz w:val="16"/>
          <w:szCs w:val="24"/>
          <w:lang w:val="es-ES" w:eastAsia="es-ES"/>
        </w:rPr>
      </w:pPr>
      <w:r w:rsidRPr="002143B6">
        <w:rPr>
          <w:rFonts w:ascii="GalanoGrotesque-Medium" w:eastAsia="Times New Roman" w:hAnsi="GalanoGrotesque-Medium" w:cs="Arial"/>
          <w:b/>
          <w:sz w:val="16"/>
          <w:szCs w:val="24"/>
          <w:lang w:val="es-ES" w:eastAsia="es-ES"/>
        </w:rPr>
        <w:t>Índice de Impunidad 2014</w:t>
      </w:r>
    </w:p>
    <w:p w14:paraId="63AE1F9D" w14:textId="77777777" w:rsidR="00800F4F" w:rsidRPr="00800F4F" w:rsidRDefault="00800F4F" w:rsidP="00800F4F">
      <w:pPr>
        <w:spacing w:after="0"/>
        <w:jc w:val="center"/>
        <w:rPr>
          <w:rFonts w:ascii="GalanoGrotesque-Medium" w:eastAsia="Times New Roman" w:hAnsi="GalanoGrotesque-Medium" w:cs="Arial"/>
          <w:sz w:val="24"/>
          <w:szCs w:val="24"/>
          <w:lang w:val="es-ES" w:eastAsia="es-ES"/>
        </w:rPr>
      </w:pPr>
      <w:r w:rsidRPr="00800F4F">
        <w:rPr>
          <w:rFonts w:ascii="GalanoGrotesque-Medium" w:eastAsia="Times New Roman" w:hAnsi="GalanoGrotesque-Medium" w:cs="Times New Roman"/>
          <w:noProof/>
          <w:sz w:val="24"/>
          <w:szCs w:val="24"/>
          <w:lang w:val="es-ES" w:eastAsia="es-ES"/>
        </w:rPr>
        <w:drawing>
          <wp:inline distT="0" distB="0" distL="0" distR="0" wp14:anchorId="3EE5C65A" wp14:editId="0FF743DD">
            <wp:extent cx="3153410" cy="4634465"/>
            <wp:effectExtent l="0" t="0" r="8890" b="0"/>
            <wp:docPr id="43009" name="Imagen 4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23" t="445" r="1065" b="5986"/>
                    <a:stretch/>
                  </pic:blipFill>
                  <pic:spPr bwMode="auto">
                    <a:xfrm>
                      <a:off x="0" y="0"/>
                      <a:ext cx="3161041" cy="4645680"/>
                    </a:xfrm>
                    <a:prstGeom prst="rect">
                      <a:avLst/>
                    </a:prstGeom>
                    <a:noFill/>
                    <a:ln>
                      <a:noFill/>
                    </a:ln>
                    <a:extLst>
                      <a:ext uri="{53640926-AAD7-44D8-BBD7-CCE9431645EC}">
                        <a14:shadowObscured xmlns:a14="http://schemas.microsoft.com/office/drawing/2010/main"/>
                      </a:ext>
                    </a:extLst>
                  </pic:spPr>
                </pic:pic>
              </a:graphicData>
            </a:graphic>
          </wp:inline>
        </w:drawing>
      </w:r>
    </w:p>
    <w:p w14:paraId="29FFB46F" w14:textId="77777777" w:rsidR="002143B6" w:rsidRDefault="00800F4F" w:rsidP="00942020">
      <w:pPr>
        <w:spacing w:after="160" w:line="180" w:lineRule="exact"/>
        <w:rPr>
          <w:rFonts w:ascii="GalanoGrotesque-Regular" w:eastAsia="Times New Roman" w:hAnsi="GalanoGrotesque-Regular" w:cs="Arial"/>
          <w:sz w:val="16"/>
          <w:szCs w:val="20"/>
          <w:lang w:val="es-ES" w:eastAsia="es-ES"/>
        </w:rPr>
        <w:sectPr w:rsidR="002143B6" w:rsidSect="00800F4F">
          <w:footnotePr>
            <w:numStart w:val="4"/>
          </w:footnotePr>
          <w:type w:val="continuous"/>
          <w:pgSz w:w="12240" w:h="15840"/>
          <w:pgMar w:top="1418" w:right="1134" w:bottom="1418" w:left="1134" w:header="709" w:footer="709" w:gutter="0"/>
          <w:cols w:num="2" w:space="567"/>
          <w:docGrid w:linePitch="360"/>
        </w:sectPr>
      </w:pPr>
      <w:r w:rsidRPr="00942020">
        <w:rPr>
          <w:rFonts w:ascii="GalanoGrotesque-Regular" w:eastAsia="Times New Roman" w:hAnsi="GalanoGrotesque-Regular" w:cs="Arial"/>
          <w:sz w:val="16"/>
          <w:szCs w:val="20"/>
          <w:lang w:val="es-ES" w:eastAsia="es-ES"/>
        </w:rPr>
        <w:t>Fuente: Elaboración de la Universidad de Las Américas Puebla / Centro de Estudios sobre Impunidad y Justicia.</w:t>
      </w:r>
    </w:p>
    <w:p w14:paraId="51B9DD77" w14:textId="77777777" w:rsidR="00800F4F" w:rsidRPr="00942020" w:rsidRDefault="00800F4F" w:rsidP="00942020">
      <w:pPr>
        <w:pStyle w:val="Prrafodelista"/>
        <w:numPr>
          <w:ilvl w:val="0"/>
          <w:numId w:val="19"/>
        </w:numPr>
        <w:spacing w:after="240"/>
        <w:ind w:left="426" w:hanging="426"/>
        <w:jc w:val="both"/>
        <w:rPr>
          <w:rFonts w:ascii="GalanoGrotesque-Medium" w:hAnsi="GalanoGrotesque-Medium" w:cs="Arial"/>
        </w:rPr>
      </w:pPr>
      <w:r w:rsidRPr="00942020">
        <w:rPr>
          <w:rFonts w:ascii="GalanoGrotesque-Medium" w:hAnsi="GalanoGrotesque-Medium" w:cs="Arial"/>
          <w:b/>
        </w:rPr>
        <w:lastRenderedPageBreak/>
        <w:t>Hacia dónde vamos</w:t>
      </w:r>
    </w:p>
    <w:p w14:paraId="62720195"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La tranquilidad y paz es una aspiración de cualquier sociedad. Proteger los derechos humanos de los ciudadanos está en el centro de las acciones de cualquier gobierno. Michoacán ha pasado recientemente por períodos complejos de inseguridad, violencia e inestabilidad política, dejando un tejido social sumamente endeble y resquicios de rencor y desconfianza. Superar esta situación no será inmediato y requerirá de políticas públicas que tengan impactos claros en diferentes flancos, desde la generación de empleos, la disminución de la pobreza, la lucha en contra de la impunidad, el restablecimiento de la cohesión social y el mejoramiento de la educación y la salud. </w:t>
      </w:r>
    </w:p>
    <w:p w14:paraId="4AB3ABC9"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Debemos construir un Michoacán tranquilo y en paz, basado en una gobernanza capaz de crear un equilibrio entre la capacidad de respuesta gubernamental y la demanda social. Una gobernanza en un marco de respeto y coordinación con todos los actores, que tenga como base la legalidad y el diálogo para generar  condiciones para el desarrollo de la entidad y el ejercicio de las libertades de todos los michoacanos.</w:t>
      </w:r>
    </w:p>
    <w:p w14:paraId="69D2251E"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Sin embargo, la tranquilidad y la paz requieren de un proceso claro de construcción de instituciones confiables y honestas de procuración de justicia. Una policía cercana a la gente, profesional, honesta y respetada por la ciudadanía es un ingrediente fundamental. Sistemas fiscalizadores y de justicia eficientes y efectivos son también pieza clave. Una sociedad participativa, dispuesta a denunciar y a confiar en sus autoridades será resultado de la credibilidad ganada a pulso por las nuevas instituciones. </w:t>
      </w:r>
    </w:p>
    <w:p w14:paraId="3DE6EDB4"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El nuevo Sistema de Justicia Penal implementado recientemente en el país exige tener instituciones acordes con los nuevos retos. En Michoacán queremos abatir problemas significativos como la violencia -incluida la de género-, la impunidad o la ausencia de garantías a los derechos humanos. Para lograrlo, se emprenderán estrategias que nos permitan garantizar el ejercicio de los derechos humanos como pilar fundamental de la tranquilidad, justicia y paz que demanda la sociedad michoacana.</w:t>
      </w:r>
    </w:p>
    <w:p w14:paraId="5F39EB41"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La generación de soluciones expeditas y eficaces en materia de seguridad pública y procuración de justicia implican un modelo más transparente y eficaz, con recursos humanos profesionales y capacitados, y </w:t>
      </w:r>
      <w:r w:rsidRPr="00A00313">
        <w:rPr>
          <w:rFonts w:ascii="MyriadPro-Regular" w:hAnsi="MyriadPro-Regular" w:cs="MyriadPro-Regular"/>
          <w:color w:val="414142"/>
          <w:sz w:val="20"/>
          <w:szCs w:val="20"/>
        </w:rPr>
        <w:lastRenderedPageBreak/>
        <w:t>apoyado en una investigación y gestión policial inteligente.</w:t>
      </w:r>
    </w:p>
    <w:p w14:paraId="4C0306C9"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La procuración de justicia sentará las bases para fortalecer una cultura de legalidad, con mecanismos y programas para detectar las causas que provocan la violencia interpersonal y la comisión de delitos, además de brindar asistencia y apoyo a las víctimas de la violencia y delitos.</w:t>
      </w:r>
    </w:p>
    <w:p w14:paraId="2B28359F"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En específico, la Declaración de Alerta de Violencia de Género implica la instrumentación de protocolos y acciones preventivas para evitar la violencia y discriminación hacia las mujeres. De igual manera, las vinculaciones interinstitucionales permitirán lograr una corresponsabilidad para el pleno ejercicio de los derechos humanos, políticos, sociales y culturales de la población michoacana.</w:t>
      </w:r>
    </w:p>
    <w:p w14:paraId="409DDE1E"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Devolver un ambiente de tranquilidad y paz para los millones de habitantes de la entidad, es un compromiso central de esta Administración. El fortalecimiento del estado de derecho y la promoción de los derechos humanos son fundamentales para reducir todas las formas de violencia, que obstruyen el crecimiento económico, la inclusión social y la gobernabilidad. La sociedad michoacana exige un gobierno eficaz que genere estabilidad política que permita el desarrollo del Estado y el pleno ejercicio de los derechos de todos los ciudadanos.</w:t>
      </w:r>
    </w:p>
    <w:p w14:paraId="035EF813"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La paz se construye desde y junto con la sociedad, ese es uno de los principios rectores que guiará la acción del Estado. Asimismo, se deben crear las condiciones de trabajo justo para prevenir la delincuencia y erradicar la violencia familiar. Esta Administración realizará las acciones conducentes para crear condiciones de una convivencia pacífica por la vía de la efectiva procuración e impartición de justicia.</w:t>
      </w:r>
    </w:p>
    <w:p w14:paraId="6D5F95D7"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Mantener la paz en Michoacán es el camino. Se requiere de diálogos de concertación y participación social para la construcción de la tranquilidad, la justicia y la paz. A la par, se requiere fomentar y practicar valores sociales y cívicos, así como comportamientos y actitudes inclusivas con un enfoque de género en seguridad ciudadana.</w:t>
      </w:r>
    </w:p>
    <w:p w14:paraId="07044801" w14:textId="77777777" w:rsidR="00800F4F" w:rsidRPr="00A00313" w:rsidRDefault="00800F4F" w:rsidP="00942020">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Para lograr lo anterior se plantean los objetivos y estrategias que se muestran en la Tabla 2.3.</w:t>
      </w:r>
    </w:p>
    <w:p w14:paraId="4A4AFB3F" w14:textId="77777777" w:rsidR="00800F4F" w:rsidRPr="00800F4F" w:rsidRDefault="00800F4F" w:rsidP="00800F4F">
      <w:pPr>
        <w:spacing w:after="0"/>
        <w:rPr>
          <w:rFonts w:ascii="GalanoGrotesque-Regular" w:eastAsia="Times New Roman" w:hAnsi="GalanoGrotesque-Regular" w:cs="Arial"/>
          <w:sz w:val="20"/>
          <w:szCs w:val="20"/>
          <w:lang w:val="es-ES" w:eastAsia="es-ES"/>
        </w:rPr>
      </w:pPr>
    </w:p>
    <w:p w14:paraId="39957229" w14:textId="77777777" w:rsidR="00800F4F" w:rsidRDefault="00800F4F" w:rsidP="00800F4F">
      <w:pPr>
        <w:spacing w:after="240"/>
        <w:jc w:val="both"/>
        <w:rPr>
          <w:rFonts w:ascii="GalanoGrotesque-Medium" w:hAnsi="GalanoGrotesque-Medium" w:cs="Arial"/>
        </w:rPr>
      </w:pPr>
    </w:p>
    <w:p w14:paraId="3549534E" w14:textId="77777777" w:rsidR="00F2524A" w:rsidRDefault="00F2524A" w:rsidP="00800F4F">
      <w:pPr>
        <w:spacing w:after="240"/>
        <w:jc w:val="both"/>
        <w:rPr>
          <w:rFonts w:ascii="GalanoGrotesque-Medium" w:hAnsi="GalanoGrotesque-Medium" w:cs="Arial"/>
        </w:rPr>
        <w:sectPr w:rsidR="00F2524A" w:rsidSect="002143B6">
          <w:footnotePr>
            <w:numStart w:val="4"/>
          </w:footnotePr>
          <w:pgSz w:w="12240" w:h="15840"/>
          <w:pgMar w:top="1418" w:right="1134" w:bottom="1418" w:left="1134" w:header="709" w:footer="709" w:gutter="0"/>
          <w:cols w:num="2" w:space="567"/>
          <w:docGrid w:linePitch="360"/>
        </w:sectPr>
      </w:pPr>
    </w:p>
    <w:p w14:paraId="590DAAF4" w14:textId="77777777" w:rsidR="002143B6" w:rsidRDefault="002143B6" w:rsidP="00942020">
      <w:pPr>
        <w:spacing w:after="0" w:line="180" w:lineRule="exact"/>
        <w:jc w:val="center"/>
        <w:rPr>
          <w:rFonts w:ascii="GalanoGrotesque-Medium" w:hAnsi="GalanoGrotesque-Medium" w:cs="Arial"/>
          <w:b/>
          <w:sz w:val="16"/>
        </w:rPr>
      </w:pPr>
      <w:r>
        <w:rPr>
          <w:rFonts w:ascii="GalanoGrotesque-Medium" w:hAnsi="GalanoGrotesque-Medium" w:cs="Arial"/>
          <w:b/>
          <w:sz w:val="16"/>
        </w:rPr>
        <w:lastRenderedPageBreak/>
        <w:br w:type="page"/>
      </w:r>
    </w:p>
    <w:p w14:paraId="7C6447C0" w14:textId="77777777" w:rsidR="00F2524A" w:rsidRPr="00D63823" w:rsidRDefault="00F2524A" w:rsidP="00942020">
      <w:pPr>
        <w:spacing w:after="0" w:line="180" w:lineRule="exact"/>
        <w:jc w:val="center"/>
        <w:rPr>
          <w:rFonts w:ascii="MyriadPro-Regular" w:eastAsia="Times New Roman" w:hAnsi="MyriadPro-Regular" w:cs="Arial"/>
          <w:b/>
          <w:sz w:val="20"/>
          <w:szCs w:val="20"/>
          <w:lang w:eastAsia="es-MX"/>
        </w:rPr>
      </w:pPr>
      <w:r w:rsidRPr="00D63823">
        <w:rPr>
          <w:rFonts w:ascii="MyriadPro-Regular" w:eastAsia="Times New Roman" w:hAnsi="MyriadPro-Regular" w:cs="Arial"/>
          <w:b/>
          <w:sz w:val="20"/>
          <w:szCs w:val="20"/>
          <w:lang w:eastAsia="es-MX"/>
        </w:rPr>
        <w:lastRenderedPageBreak/>
        <w:t>Tabla 2.3</w:t>
      </w:r>
    </w:p>
    <w:p w14:paraId="2E218D48" w14:textId="77777777" w:rsidR="00F2524A" w:rsidRPr="00D63823" w:rsidRDefault="00F2524A" w:rsidP="00942020">
      <w:pPr>
        <w:spacing w:after="160" w:line="180" w:lineRule="exact"/>
        <w:jc w:val="center"/>
        <w:rPr>
          <w:rFonts w:ascii="MyriadPro-Regular" w:eastAsia="Times New Roman" w:hAnsi="MyriadPro-Regular" w:cs="Arial"/>
          <w:b/>
          <w:sz w:val="20"/>
          <w:szCs w:val="20"/>
          <w:lang w:eastAsia="es-MX"/>
        </w:rPr>
      </w:pPr>
      <w:r w:rsidRPr="00D63823">
        <w:rPr>
          <w:rFonts w:ascii="MyriadPro-Regular" w:eastAsia="Times New Roman" w:hAnsi="MyriadPro-Regular" w:cs="Arial"/>
          <w:b/>
          <w:sz w:val="20"/>
          <w:szCs w:val="20"/>
          <w:lang w:eastAsia="es-MX"/>
        </w:rPr>
        <w:t>Objetivos, Líneas Estratégicas y Acciones</w:t>
      </w:r>
    </w:p>
    <w:tbl>
      <w:tblPr>
        <w:tblStyle w:val="Tablaconcuadrcula"/>
        <w:tblW w:w="9214" w:type="dxa"/>
        <w:jc w:val="center"/>
        <w:tblLook w:val="04A0" w:firstRow="1" w:lastRow="0" w:firstColumn="1" w:lastColumn="0" w:noHBand="0" w:noVBand="1"/>
      </w:tblPr>
      <w:tblGrid>
        <w:gridCol w:w="9214"/>
      </w:tblGrid>
      <w:tr w:rsidR="00F2524A" w:rsidRPr="0009799F" w14:paraId="24CAFB8E" w14:textId="77777777" w:rsidTr="00F2524A">
        <w:trPr>
          <w:jc w:val="center"/>
        </w:trPr>
        <w:tc>
          <w:tcPr>
            <w:tcW w:w="9214" w:type="dxa"/>
            <w:shd w:val="clear" w:color="auto" w:fill="FFFF00"/>
          </w:tcPr>
          <w:p w14:paraId="5835D8CC" w14:textId="77777777" w:rsidR="00F2524A" w:rsidRPr="00D63823" w:rsidRDefault="00F2524A" w:rsidP="00E47EF3">
            <w:pPr>
              <w:jc w:val="both"/>
              <w:rPr>
                <w:rFonts w:ascii="MyriadPro-Regular" w:hAnsi="MyriadPro-Regular" w:cs="Arial"/>
              </w:rPr>
            </w:pPr>
            <w:r w:rsidRPr="00D63823">
              <w:rPr>
                <w:rFonts w:ascii="MyriadPro-Regular" w:hAnsi="MyriadPro-Regular" w:cs="Arial"/>
              </w:rPr>
              <w:t>Prioridad 2: Tranquilidad, justicia y paz.</w:t>
            </w:r>
          </w:p>
        </w:tc>
      </w:tr>
      <w:tr w:rsidR="00F2524A" w:rsidRPr="0009799F" w14:paraId="055D393B" w14:textId="77777777" w:rsidTr="00F2524A">
        <w:trPr>
          <w:jc w:val="center"/>
        </w:trPr>
        <w:tc>
          <w:tcPr>
            <w:tcW w:w="9214" w:type="dxa"/>
            <w:shd w:val="clear" w:color="auto" w:fill="FFFF00"/>
          </w:tcPr>
          <w:p w14:paraId="1A212A37" w14:textId="77777777" w:rsidR="00F2524A" w:rsidRPr="00D63823" w:rsidRDefault="00F2524A" w:rsidP="00E47EF3">
            <w:pPr>
              <w:jc w:val="both"/>
              <w:rPr>
                <w:rFonts w:ascii="MyriadPro-Regular" w:hAnsi="MyriadPro-Regular" w:cs="Arial"/>
              </w:rPr>
            </w:pPr>
            <w:r w:rsidRPr="00D63823">
              <w:rPr>
                <w:rFonts w:ascii="MyriadPro-Regular" w:hAnsi="MyriadPro-Regular" w:cs="Arial"/>
              </w:rPr>
              <w:t>Objetivo</w:t>
            </w:r>
          </w:p>
        </w:tc>
      </w:tr>
      <w:tr w:rsidR="00F2524A" w:rsidRPr="0009799F" w14:paraId="33782E52" w14:textId="77777777" w:rsidTr="00F2524A">
        <w:trPr>
          <w:jc w:val="center"/>
        </w:trPr>
        <w:tc>
          <w:tcPr>
            <w:tcW w:w="9214" w:type="dxa"/>
            <w:shd w:val="clear" w:color="auto" w:fill="auto"/>
          </w:tcPr>
          <w:p w14:paraId="64693737" w14:textId="77777777" w:rsidR="00F2524A" w:rsidRPr="00D63823" w:rsidRDefault="00F2524A" w:rsidP="00E47EF3">
            <w:pPr>
              <w:ind w:left="460" w:hanging="460"/>
              <w:jc w:val="both"/>
              <w:rPr>
                <w:rFonts w:ascii="MyriadPro-Regular" w:hAnsi="MyriadPro-Regular" w:cs="Arial"/>
              </w:rPr>
            </w:pPr>
            <w:r w:rsidRPr="00D63823">
              <w:rPr>
                <w:rFonts w:ascii="MyriadPro-Regular" w:hAnsi="MyriadPro-Regular" w:cs="Arial"/>
              </w:rPr>
              <w:t>2.1 Generar una cultura de legalidad con mecanismos transparentes y profesionales del sistema de seguridad pública y de procuración de justicia.</w:t>
            </w:r>
          </w:p>
        </w:tc>
      </w:tr>
      <w:tr w:rsidR="00F2524A" w:rsidRPr="0009799F" w14:paraId="20A02BA2" w14:textId="77777777" w:rsidTr="00F2524A">
        <w:trPr>
          <w:jc w:val="center"/>
        </w:trPr>
        <w:tc>
          <w:tcPr>
            <w:tcW w:w="9214" w:type="dxa"/>
            <w:shd w:val="clear" w:color="auto" w:fill="FFFF00"/>
          </w:tcPr>
          <w:p w14:paraId="2495C480" w14:textId="77777777" w:rsidR="00F2524A" w:rsidRPr="00D63823" w:rsidRDefault="00F2524A" w:rsidP="00E47EF3">
            <w:pPr>
              <w:rPr>
                <w:rFonts w:ascii="MyriadPro-Regular" w:hAnsi="MyriadPro-Regular" w:cs="Arial"/>
              </w:rPr>
            </w:pPr>
            <w:r w:rsidRPr="00D63823">
              <w:rPr>
                <w:rFonts w:ascii="MyriadPro-Regular" w:hAnsi="MyriadPro-Regular" w:cs="Arial"/>
              </w:rPr>
              <w:t xml:space="preserve">Línea estratégica </w:t>
            </w:r>
          </w:p>
        </w:tc>
      </w:tr>
      <w:tr w:rsidR="00F2524A" w:rsidRPr="0009799F" w14:paraId="68C2EA90" w14:textId="77777777" w:rsidTr="00F2524A">
        <w:trPr>
          <w:jc w:val="center"/>
        </w:trPr>
        <w:tc>
          <w:tcPr>
            <w:tcW w:w="9214" w:type="dxa"/>
            <w:shd w:val="clear" w:color="auto" w:fill="auto"/>
          </w:tcPr>
          <w:p w14:paraId="3BB6A41E" w14:textId="77777777" w:rsidR="00F2524A" w:rsidRPr="00D63823" w:rsidRDefault="00F2524A" w:rsidP="00E47EF3">
            <w:pPr>
              <w:ind w:left="1452" w:hanging="846"/>
              <w:jc w:val="both"/>
              <w:rPr>
                <w:rFonts w:ascii="MyriadPro-Regular" w:hAnsi="MyriadPro-Regular" w:cs="Arial"/>
              </w:rPr>
            </w:pPr>
            <w:r w:rsidRPr="00D63823">
              <w:rPr>
                <w:rFonts w:ascii="MyriadPro-Regular" w:hAnsi="MyriadPro-Regular" w:cs="Arial"/>
              </w:rPr>
              <w:t xml:space="preserve">2.1.1 </w:t>
            </w:r>
            <w:r w:rsidRPr="00D63823">
              <w:rPr>
                <w:rFonts w:ascii="MyriadPro-Regular" w:hAnsi="MyriadPro-Regular" w:cs="Arial"/>
              </w:rPr>
              <w:tab/>
              <w:t>Mejorar el servicio de seguridad pública y de procuración de justicia con profesionalismo y ética.</w:t>
            </w:r>
          </w:p>
        </w:tc>
      </w:tr>
      <w:tr w:rsidR="00F2524A" w:rsidRPr="0009799F" w14:paraId="53B0F770" w14:textId="77777777" w:rsidTr="00F2524A">
        <w:trPr>
          <w:trHeight w:val="436"/>
          <w:jc w:val="center"/>
        </w:trPr>
        <w:tc>
          <w:tcPr>
            <w:tcW w:w="9214" w:type="dxa"/>
            <w:shd w:val="clear" w:color="auto" w:fill="FFFF00"/>
          </w:tcPr>
          <w:p w14:paraId="18AD8416" w14:textId="77777777" w:rsidR="00F2524A" w:rsidRPr="00D63823" w:rsidRDefault="00F2524A" w:rsidP="00E47EF3">
            <w:pPr>
              <w:rPr>
                <w:rFonts w:ascii="MyriadPro-Regular" w:hAnsi="MyriadPro-Regular" w:cs="Arial"/>
              </w:rPr>
            </w:pPr>
            <w:r w:rsidRPr="00D63823">
              <w:rPr>
                <w:rFonts w:ascii="MyriadPro-Regular" w:hAnsi="MyriadPro-Regular" w:cs="Arial"/>
              </w:rPr>
              <w:t>Acciones</w:t>
            </w:r>
          </w:p>
        </w:tc>
      </w:tr>
      <w:tr w:rsidR="00F2524A" w:rsidRPr="0009799F" w14:paraId="029F3A4D" w14:textId="77777777" w:rsidTr="00F2524A">
        <w:trPr>
          <w:jc w:val="center"/>
        </w:trPr>
        <w:tc>
          <w:tcPr>
            <w:tcW w:w="9214" w:type="dxa"/>
            <w:shd w:val="clear" w:color="auto" w:fill="auto"/>
          </w:tcPr>
          <w:p w14:paraId="47116D69" w14:textId="77777777" w:rsidR="00F2524A" w:rsidRPr="00D63823" w:rsidRDefault="00F2524A" w:rsidP="00E47EF3">
            <w:pPr>
              <w:ind w:left="2160" w:hanging="885"/>
              <w:jc w:val="both"/>
              <w:rPr>
                <w:rFonts w:ascii="MyriadPro-Regular" w:hAnsi="MyriadPro-Regular" w:cs="Arial"/>
              </w:rPr>
            </w:pPr>
            <w:r w:rsidRPr="00D63823">
              <w:rPr>
                <w:rFonts w:ascii="MyriadPro-Regular" w:hAnsi="MyriadPro-Regular" w:cs="Arial"/>
              </w:rPr>
              <w:t>2.1.1.1 Implementar el Servicio Profesional de Carrera de los sistemas de seguridad pública y procuración de justicia y la Certificación de la policía estatal y sus mecanismos de evaluación, con una perspectiva de género y de salvaguarda de los derechos humanos.</w:t>
            </w:r>
          </w:p>
        </w:tc>
      </w:tr>
      <w:tr w:rsidR="00F2524A" w:rsidRPr="0009799F" w14:paraId="700CF239" w14:textId="77777777" w:rsidTr="00F2524A">
        <w:trPr>
          <w:jc w:val="center"/>
        </w:trPr>
        <w:tc>
          <w:tcPr>
            <w:tcW w:w="9214" w:type="dxa"/>
            <w:shd w:val="clear" w:color="auto" w:fill="auto"/>
          </w:tcPr>
          <w:p w14:paraId="318C57B1" w14:textId="77777777" w:rsidR="00F2524A" w:rsidRPr="00D63823" w:rsidRDefault="00F2524A" w:rsidP="00E47EF3">
            <w:pPr>
              <w:ind w:left="2160" w:hanging="885"/>
              <w:jc w:val="both"/>
              <w:rPr>
                <w:rFonts w:ascii="MyriadPro-Regular" w:hAnsi="MyriadPro-Regular" w:cs="Arial"/>
              </w:rPr>
            </w:pPr>
            <w:r w:rsidRPr="00D63823">
              <w:rPr>
                <w:rFonts w:ascii="MyriadPro-Regular" w:hAnsi="MyriadPro-Regular" w:cs="Arial"/>
              </w:rPr>
              <w:t xml:space="preserve">2.1.1.2 Implementar un programa de promociones, retribuciones e incentivos salariales que repercuta en un mejor desempeño y una mayor calidad del servicio de la policía estatal. </w:t>
            </w:r>
          </w:p>
        </w:tc>
      </w:tr>
      <w:tr w:rsidR="00F2524A" w:rsidRPr="0009799F" w14:paraId="3A028F99" w14:textId="77777777" w:rsidTr="00F2524A">
        <w:trPr>
          <w:jc w:val="center"/>
        </w:trPr>
        <w:tc>
          <w:tcPr>
            <w:tcW w:w="9214" w:type="dxa"/>
            <w:shd w:val="clear" w:color="auto" w:fill="auto"/>
          </w:tcPr>
          <w:p w14:paraId="3BB56C25" w14:textId="77777777" w:rsidR="00F2524A" w:rsidRPr="00D63823" w:rsidRDefault="00F2524A" w:rsidP="00E47EF3">
            <w:pPr>
              <w:ind w:left="2160" w:hanging="885"/>
              <w:jc w:val="both"/>
              <w:rPr>
                <w:rFonts w:ascii="MyriadPro-Regular" w:hAnsi="MyriadPro-Regular" w:cs="Arial"/>
              </w:rPr>
            </w:pPr>
            <w:r w:rsidRPr="00D63823">
              <w:rPr>
                <w:rFonts w:ascii="MyriadPro-Regular" w:hAnsi="MyriadPro-Regular" w:cs="Arial"/>
              </w:rPr>
              <w:t>2.1.1.3 Modernizar los recursos tecnológicos, infraestructura y los sistemas policiales de información e inteligencia para la prevención del delito y el combate frontal a la delincuencia.</w:t>
            </w:r>
          </w:p>
        </w:tc>
      </w:tr>
      <w:tr w:rsidR="00F2524A" w:rsidRPr="0009799F" w14:paraId="4A38B227" w14:textId="77777777" w:rsidTr="00F2524A">
        <w:trPr>
          <w:jc w:val="center"/>
        </w:trPr>
        <w:tc>
          <w:tcPr>
            <w:tcW w:w="9214" w:type="dxa"/>
            <w:shd w:val="clear" w:color="auto" w:fill="auto"/>
          </w:tcPr>
          <w:p w14:paraId="0F4BB75A" w14:textId="77777777" w:rsidR="00F2524A" w:rsidRPr="00D63823" w:rsidRDefault="00F2524A" w:rsidP="00E47EF3">
            <w:pPr>
              <w:ind w:left="2160" w:hanging="885"/>
              <w:jc w:val="both"/>
              <w:rPr>
                <w:rFonts w:ascii="MyriadPro-Regular" w:hAnsi="MyriadPro-Regular" w:cs="Arial"/>
              </w:rPr>
            </w:pPr>
            <w:r w:rsidRPr="00D63823">
              <w:rPr>
                <w:rFonts w:ascii="MyriadPro-Regular" w:hAnsi="MyriadPro-Regular" w:cs="Arial"/>
              </w:rPr>
              <w:t>2.1.1.4 Dotar a las corporaciones policiales de cuarteles y equipamiento de protección moderno y adecuado.</w:t>
            </w:r>
          </w:p>
          <w:p w14:paraId="66C5B835" w14:textId="77777777" w:rsidR="00F2524A" w:rsidRPr="00D63823" w:rsidRDefault="00F2524A" w:rsidP="00E47EF3">
            <w:pPr>
              <w:ind w:left="2160" w:hanging="885"/>
              <w:jc w:val="both"/>
              <w:rPr>
                <w:rFonts w:ascii="MyriadPro-Regular" w:hAnsi="MyriadPro-Regular" w:cs="Arial"/>
              </w:rPr>
            </w:pPr>
          </w:p>
        </w:tc>
      </w:tr>
      <w:tr w:rsidR="00F2524A" w:rsidRPr="0009799F" w14:paraId="28E676BE" w14:textId="77777777" w:rsidTr="00F2524A">
        <w:trPr>
          <w:jc w:val="center"/>
        </w:trPr>
        <w:tc>
          <w:tcPr>
            <w:tcW w:w="9214" w:type="dxa"/>
            <w:shd w:val="clear" w:color="auto" w:fill="FFFF00"/>
          </w:tcPr>
          <w:p w14:paraId="7C176765" w14:textId="77777777" w:rsidR="00F2524A" w:rsidRPr="00D63823" w:rsidRDefault="00F2524A" w:rsidP="00E47EF3">
            <w:pPr>
              <w:jc w:val="both"/>
              <w:rPr>
                <w:rFonts w:ascii="MyriadPro-Regular" w:hAnsi="MyriadPro-Regular" w:cs="Arial"/>
              </w:rPr>
            </w:pPr>
            <w:r w:rsidRPr="00D63823">
              <w:rPr>
                <w:rFonts w:ascii="MyriadPro-Regular" w:hAnsi="MyriadPro-Regular" w:cs="Arial"/>
              </w:rPr>
              <w:t>Objetivo</w:t>
            </w:r>
          </w:p>
        </w:tc>
      </w:tr>
      <w:tr w:rsidR="00F2524A" w:rsidRPr="0009799F" w14:paraId="657EF633" w14:textId="77777777" w:rsidTr="00F2524A">
        <w:trPr>
          <w:jc w:val="center"/>
        </w:trPr>
        <w:tc>
          <w:tcPr>
            <w:tcW w:w="9214" w:type="dxa"/>
            <w:shd w:val="clear" w:color="auto" w:fill="auto"/>
          </w:tcPr>
          <w:p w14:paraId="2C6623FA" w14:textId="77777777" w:rsidR="00F2524A" w:rsidRPr="00D63823" w:rsidRDefault="00F2524A" w:rsidP="00E47EF3">
            <w:pPr>
              <w:ind w:left="487" w:hanging="523"/>
              <w:jc w:val="both"/>
              <w:rPr>
                <w:rFonts w:ascii="MyriadPro-Regular" w:hAnsi="MyriadPro-Regular" w:cs="Arial"/>
              </w:rPr>
            </w:pPr>
            <w:r w:rsidRPr="00D63823">
              <w:rPr>
                <w:rFonts w:ascii="MyriadPro-Regular" w:hAnsi="MyriadPro-Regular" w:cs="Arial"/>
              </w:rPr>
              <w:t>2.2 Fortalecer el estado de derecho en el sistema de justicia y de seguridad para lograr respeto y confianza en las instituciones.</w:t>
            </w:r>
          </w:p>
        </w:tc>
      </w:tr>
      <w:tr w:rsidR="00F2524A" w:rsidRPr="0009799F" w14:paraId="7539F50A" w14:textId="77777777" w:rsidTr="00F2524A">
        <w:trPr>
          <w:jc w:val="center"/>
        </w:trPr>
        <w:tc>
          <w:tcPr>
            <w:tcW w:w="9214" w:type="dxa"/>
            <w:shd w:val="clear" w:color="auto" w:fill="FFFF00"/>
          </w:tcPr>
          <w:p w14:paraId="52B7EE33" w14:textId="77777777" w:rsidR="00F2524A" w:rsidRPr="00D63823" w:rsidRDefault="00F2524A" w:rsidP="00E47EF3">
            <w:pPr>
              <w:rPr>
                <w:rFonts w:ascii="MyriadPro-Regular" w:hAnsi="MyriadPro-Regular" w:cs="Arial"/>
              </w:rPr>
            </w:pPr>
            <w:r w:rsidRPr="00D63823">
              <w:rPr>
                <w:rFonts w:ascii="MyriadPro-Regular" w:hAnsi="MyriadPro-Regular" w:cs="Arial"/>
              </w:rPr>
              <w:t xml:space="preserve">Línea estratégica </w:t>
            </w:r>
          </w:p>
        </w:tc>
      </w:tr>
      <w:tr w:rsidR="00F2524A" w:rsidRPr="0009799F" w14:paraId="325A89C5" w14:textId="77777777" w:rsidTr="00F2524A">
        <w:trPr>
          <w:jc w:val="center"/>
        </w:trPr>
        <w:tc>
          <w:tcPr>
            <w:tcW w:w="9214" w:type="dxa"/>
            <w:shd w:val="clear" w:color="auto" w:fill="auto"/>
          </w:tcPr>
          <w:p w14:paraId="4B7A6AA8" w14:textId="77777777" w:rsidR="00F2524A" w:rsidRPr="00D63823" w:rsidRDefault="00F2524A" w:rsidP="00E47EF3">
            <w:pPr>
              <w:ind w:left="1197" w:hanging="746"/>
              <w:jc w:val="both"/>
              <w:rPr>
                <w:rFonts w:ascii="MyriadPro-Regular" w:hAnsi="MyriadPro-Regular" w:cs="Arial"/>
              </w:rPr>
            </w:pPr>
            <w:r w:rsidRPr="00D63823">
              <w:rPr>
                <w:rFonts w:ascii="MyriadPro-Regular" w:hAnsi="MyriadPro-Regular" w:cs="Arial"/>
              </w:rPr>
              <w:t>2.2.1 Garantizar tranquilidad y paz para lograr el bienestar de los ciudadanos.</w:t>
            </w:r>
          </w:p>
        </w:tc>
      </w:tr>
      <w:tr w:rsidR="00F2524A" w:rsidRPr="0009799F" w14:paraId="5AA49DA6" w14:textId="77777777" w:rsidTr="00F2524A">
        <w:trPr>
          <w:jc w:val="center"/>
        </w:trPr>
        <w:tc>
          <w:tcPr>
            <w:tcW w:w="9214" w:type="dxa"/>
            <w:shd w:val="clear" w:color="auto" w:fill="FFFF00"/>
          </w:tcPr>
          <w:p w14:paraId="56642321" w14:textId="77777777" w:rsidR="00F2524A" w:rsidRPr="00D63823" w:rsidRDefault="00F2524A" w:rsidP="00E47EF3">
            <w:pPr>
              <w:rPr>
                <w:rFonts w:ascii="MyriadPro-Regular" w:hAnsi="MyriadPro-Regular" w:cs="Arial"/>
              </w:rPr>
            </w:pPr>
            <w:r w:rsidRPr="00D63823">
              <w:rPr>
                <w:rFonts w:ascii="MyriadPro-Regular" w:hAnsi="MyriadPro-Regular" w:cs="Arial"/>
              </w:rPr>
              <w:t>Acciones</w:t>
            </w:r>
          </w:p>
        </w:tc>
      </w:tr>
      <w:tr w:rsidR="00F2524A" w:rsidRPr="0009799F" w14:paraId="6C39DE2F" w14:textId="77777777" w:rsidTr="00F2524A">
        <w:trPr>
          <w:jc w:val="center"/>
        </w:trPr>
        <w:tc>
          <w:tcPr>
            <w:tcW w:w="9214" w:type="dxa"/>
            <w:shd w:val="clear" w:color="auto" w:fill="auto"/>
          </w:tcPr>
          <w:p w14:paraId="7840E263"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 xml:space="preserve">2.2.1.1 Aplicar exámenes de confianza y calidad en el servicio para los funcionarios públicos. </w:t>
            </w:r>
          </w:p>
        </w:tc>
      </w:tr>
      <w:tr w:rsidR="00F2524A" w:rsidRPr="0009799F" w14:paraId="3AB677D3" w14:textId="77777777" w:rsidTr="00F2524A">
        <w:trPr>
          <w:jc w:val="center"/>
        </w:trPr>
        <w:tc>
          <w:tcPr>
            <w:tcW w:w="9214" w:type="dxa"/>
            <w:shd w:val="clear" w:color="auto" w:fill="auto"/>
          </w:tcPr>
          <w:p w14:paraId="030D9269"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 xml:space="preserve">2.2.1.2 Operar el sistema estatal de atención a víctimas con protocolos eficientes, eficaces y diferenciados para su atención integral y temprana. </w:t>
            </w:r>
          </w:p>
        </w:tc>
      </w:tr>
      <w:tr w:rsidR="00F2524A" w:rsidRPr="0009799F" w14:paraId="28EB9758" w14:textId="77777777" w:rsidTr="00F2524A">
        <w:trPr>
          <w:jc w:val="center"/>
        </w:trPr>
        <w:tc>
          <w:tcPr>
            <w:tcW w:w="9214" w:type="dxa"/>
            <w:shd w:val="clear" w:color="auto" w:fill="auto"/>
          </w:tcPr>
          <w:p w14:paraId="051F9D8B"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2.2.1.3 Consolidar la Defensoría Pública para el fortalecimiento del estado de derecho y protección de los derechos humanos.</w:t>
            </w:r>
          </w:p>
        </w:tc>
      </w:tr>
      <w:tr w:rsidR="00F2524A" w:rsidRPr="0009799F" w14:paraId="04F95E17" w14:textId="77777777" w:rsidTr="00F2524A">
        <w:trPr>
          <w:jc w:val="center"/>
        </w:trPr>
        <w:tc>
          <w:tcPr>
            <w:tcW w:w="9214" w:type="dxa"/>
            <w:shd w:val="clear" w:color="auto" w:fill="auto"/>
          </w:tcPr>
          <w:p w14:paraId="7119C722"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2.2.1.4 Implementar un Sistema Penitenciario que garantice la reinserción social y la defensa de los derechos humanos.</w:t>
            </w:r>
          </w:p>
        </w:tc>
      </w:tr>
      <w:tr w:rsidR="00F2524A" w:rsidRPr="0009799F" w14:paraId="77071B16" w14:textId="77777777" w:rsidTr="00F2524A">
        <w:trPr>
          <w:jc w:val="center"/>
        </w:trPr>
        <w:tc>
          <w:tcPr>
            <w:tcW w:w="9214" w:type="dxa"/>
            <w:shd w:val="clear" w:color="auto" w:fill="auto"/>
          </w:tcPr>
          <w:p w14:paraId="6D9B39D9"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2.2.1.5 Implementar una política de atención expedita de demandas y solución de conflictos con base en el diálogo y la legalidad.</w:t>
            </w:r>
          </w:p>
        </w:tc>
      </w:tr>
      <w:tr w:rsidR="00F2524A" w:rsidRPr="0009799F" w14:paraId="327DADEA" w14:textId="77777777" w:rsidTr="00F2524A">
        <w:trPr>
          <w:jc w:val="center"/>
        </w:trPr>
        <w:tc>
          <w:tcPr>
            <w:tcW w:w="9214" w:type="dxa"/>
            <w:shd w:val="clear" w:color="auto" w:fill="auto"/>
          </w:tcPr>
          <w:p w14:paraId="66A71280"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2.2.1.6 Establecer una coordinación constante y efectiva con el Gobierno Federal, los Poderes locales y los Municipios para mantener la tranquilidad y la paz en la entidad.</w:t>
            </w:r>
          </w:p>
        </w:tc>
      </w:tr>
      <w:tr w:rsidR="00F2524A" w:rsidRPr="0009799F" w14:paraId="1697E5F3" w14:textId="77777777" w:rsidTr="00F2524A">
        <w:trPr>
          <w:jc w:val="center"/>
        </w:trPr>
        <w:tc>
          <w:tcPr>
            <w:tcW w:w="9214" w:type="dxa"/>
            <w:shd w:val="clear" w:color="auto" w:fill="auto"/>
          </w:tcPr>
          <w:p w14:paraId="1A85B5B0"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2.2.1.7 Contar con infraestructura y equipamiento que garanticen la seguridad y el bienestar de la población penitenciaria, familias y visitantes.</w:t>
            </w:r>
          </w:p>
        </w:tc>
      </w:tr>
      <w:tr w:rsidR="00F2524A" w:rsidRPr="0009799F" w14:paraId="044F6085" w14:textId="77777777" w:rsidTr="00F2524A">
        <w:trPr>
          <w:jc w:val="center"/>
        </w:trPr>
        <w:tc>
          <w:tcPr>
            <w:tcW w:w="9214" w:type="dxa"/>
            <w:shd w:val="clear" w:color="auto" w:fill="auto"/>
          </w:tcPr>
          <w:p w14:paraId="5C5D59EA"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2.2.1.8 Implementar el modelo de Mando Único en los Municipios.</w:t>
            </w:r>
          </w:p>
        </w:tc>
      </w:tr>
      <w:tr w:rsidR="00F2524A" w:rsidRPr="0009799F" w14:paraId="6A043B94" w14:textId="77777777" w:rsidTr="00F2524A">
        <w:trPr>
          <w:jc w:val="center"/>
        </w:trPr>
        <w:tc>
          <w:tcPr>
            <w:tcW w:w="9214" w:type="dxa"/>
            <w:shd w:val="clear" w:color="auto" w:fill="auto"/>
          </w:tcPr>
          <w:p w14:paraId="7436811D"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2.2.1.9 Establecer mecanismos y protocolos para procurar justicia a los delitos de maltrato animal.</w:t>
            </w:r>
          </w:p>
        </w:tc>
      </w:tr>
      <w:tr w:rsidR="00F2524A" w:rsidRPr="0009799F" w14:paraId="11496A9D" w14:textId="77777777" w:rsidTr="00F2524A">
        <w:trPr>
          <w:jc w:val="center"/>
        </w:trPr>
        <w:tc>
          <w:tcPr>
            <w:tcW w:w="9214" w:type="dxa"/>
            <w:shd w:val="clear" w:color="auto" w:fill="FFFF00"/>
          </w:tcPr>
          <w:p w14:paraId="3F6E9B52" w14:textId="77777777" w:rsidR="00F2524A" w:rsidRPr="00D63823" w:rsidRDefault="00F2524A" w:rsidP="00E47EF3">
            <w:pPr>
              <w:ind w:left="1027" w:hanging="992"/>
              <w:jc w:val="both"/>
              <w:rPr>
                <w:rFonts w:ascii="MyriadPro-Regular" w:hAnsi="MyriadPro-Regular" w:cs="Arial"/>
              </w:rPr>
            </w:pPr>
            <w:r w:rsidRPr="00D63823">
              <w:rPr>
                <w:rFonts w:ascii="MyriadPro-Regular" w:hAnsi="MyriadPro-Regular" w:cs="Arial"/>
              </w:rPr>
              <w:t>Línea estratégica</w:t>
            </w:r>
          </w:p>
        </w:tc>
      </w:tr>
      <w:tr w:rsidR="00F2524A" w:rsidRPr="0009799F" w14:paraId="35D127FC" w14:textId="77777777" w:rsidTr="00F2524A">
        <w:trPr>
          <w:jc w:val="center"/>
        </w:trPr>
        <w:tc>
          <w:tcPr>
            <w:tcW w:w="9214" w:type="dxa"/>
            <w:shd w:val="clear" w:color="auto" w:fill="auto"/>
          </w:tcPr>
          <w:p w14:paraId="488BC9FF" w14:textId="77777777" w:rsidR="00F2524A" w:rsidRPr="00D63823" w:rsidRDefault="00F2524A" w:rsidP="00E47EF3">
            <w:pPr>
              <w:ind w:left="487" w:hanging="36"/>
              <w:jc w:val="both"/>
              <w:rPr>
                <w:rFonts w:ascii="MyriadPro-Regular" w:hAnsi="MyriadPro-Regular" w:cs="Arial"/>
              </w:rPr>
            </w:pPr>
            <w:r w:rsidRPr="00D63823">
              <w:rPr>
                <w:rFonts w:ascii="MyriadPro-Regular" w:hAnsi="MyriadPro-Regular" w:cs="Arial"/>
              </w:rPr>
              <w:t>2.2.2 Consolidar acciones afirmativas para grupos específicos.</w:t>
            </w:r>
          </w:p>
        </w:tc>
      </w:tr>
      <w:tr w:rsidR="00F2524A" w:rsidRPr="0009799F" w14:paraId="41CFA6A8" w14:textId="77777777" w:rsidTr="00F2524A">
        <w:trPr>
          <w:jc w:val="center"/>
        </w:trPr>
        <w:tc>
          <w:tcPr>
            <w:tcW w:w="9214" w:type="dxa"/>
            <w:shd w:val="clear" w:color="auto" w:fill="FFFF00"/>
          </w:tcPr>
          <w:p w14:paraId="33F7BB0D" w14:textId="77777777" w:rsidR="00F2524A" w:rsidRPr="00D63823" w:rsidRDefault="00F2524A" w:rsidP="00E47EF3">
            <w:pPr>
              <w:ind w:left="176"/>
              <w:rPr>
                <w:rFonts w:ascii="MyriadPro-Regular" w:hAnsi="MyriadPro-Regular" w:cs="Arial"/>
              </w:rPr>
            </w:pPr>
            <w:r w:rsidRPr="00D63823">
              <w:rPr>
                <w:rFonts w:ascii="MyriadPro-Regular" w:hAnsi="MyriadPro-Regular" w:cs="Arial"/>
              </w:rPr>
              <w:t>Acciones</w:t>
            </w:r>
          </w:p>
        </w:tc>
      </w:tr>
      <w:tr w:rsidR="00F2524A" w:rsidRPr="0009799F" w14:paraId="711AB970" w14:textId="77777777" w:rsidTr="00F2524A">
        <w:trPr>
          <w:jc w:val="center"/>
        </w:trPr>
        <w:tc>
          <w:tcPr>
            <w:tcW w:w="9214" w:type="dxa"/>
            <w:shd w:val="clear" w:color="auto" w:fill="auto"/>
          </w:tcPr>
          <w:p w14:paraId="56395911"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2.2.2.1 Crear un programa integral de apoyo a mujeres en situación de cárcel.</w:t>
            </w:r>
          </w:p>
        </w:tc>
      </w:tr>
      <w:tr w:rsidR="00F2524A" w:rsidRPr="0009799F" w14:paraId="7018A762" w14:textId="77777777" w:rsidTr="00F2524A">
        <w:trPr>
          <w:jc w:val="center"/>
        </w:trPr>
        <w:tc>
          <w:tcPr>
            <w:tcW w:w="9214" w:type="dxa"/>
            <w:shd w:val="clear" w:color="auto" w:fill="auto"/>
          </w:tcPr>
          <w:p w14:paraId="2948FCD8"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2.2.2.2 Dar atención multidisciplinaria y orientación jurídica a mujeres víctimas de violencia.</w:t>
            </w:r>
          </w:p>
        </w:tc>
      </w:tr>
      <w:tr w:rsidR="00F2524A" w:rsidRPr="0009799F" w14:paraId="5DFA581B" w14:textId="77777777" w:rsidTr="00F2524A">
        <w:trPr>
          <w:jc w:val="center"/>
        </w:trPr>
        <w:tc>
          <w:tcPr>
            <w:tcW w:w="9214" w:type="dxa"/>
            <w:shd w:val="clear" w:color="auto" w:fill="auto"/>
          </w:tcPr>
          <w:p w14:paraId="7CDA4E4A"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 xml:space="preserve">2.2.2.3 Diseñar e impulsar una metodología de capacitación y sensibilización para servidores públicos encargados de seguridad, salud y asistencia social, con enfoque </w:t>
            </w:r>
            <w:r w:rsidRPr="00D63823">
              <w:rPr>
                <w:rFonts w:ascii="MyriadPro-Regular" w:hAnsi="MyriadPro-Regular" w:cs="Arial"/>
              </w:rPr>
              <w:lastRenderedPageBreak/>
              <w:t>multicultural y plurilingüe en derechos humanos y perspectiva de género para lograr una igualdad jurídica.</w:t>
            </w:r>
          </w:p>
        </w:tc>
      </w:tr>
      <w:tr w:rsidR="00F2524A" w:rsidRPr="0009799F" w14:paraId="36667FA2" w14:textId="77777777" w:rsidTr="00F2524A">
        <w:trPr>
          <w:jc w:val="center"/>
        </w:trPr>
        <w:tc>
          <w:tcPr>
            <w:tcW w:w="9214" w:type="dxa"/>
            <w:shd w:val="clear" w:color="auto" w:fill="auto"/>
          </w:tcPr>
          <w:p w14:paraId="6812DAF3"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lastRenderedPageBreak/>
              <w:t>2.2.2.4 Implementar un programa integral para la reinserción de las personas sujetas a una pena de prisión, aquellas con medidas de seguridad, adolescentes y adultos jóvenes en conflicto de ley.</w:t>
            </w:r>
          </w:p>
        </w:tc>
      </w:tr>
      <w:tr w:rsidR="00F2524A" w:rsidRPr="0009799F" w14:paraId="1CCBF88C" w14:textId="77777777" w:rsidTr="00F2524A">
        <w:trPr>
          <w:jc w:val="center"/>
        </w:trPr>
        <w:tc>
          <w:tcPr>
            <w:tcW w:w="9214" w:type="dxa"/>
            <w:shd w:val="clear" w:color="auto" w:fill="auto"/>
          </w:tcPr>
          <w:p w14:paraId="153B3E26"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2.2.2.5 Crear un centro de reinserción femenil en el Estado.</w:t>
            </w:r>
          </w:p>
        </w:tc>
      </w:tr>
      <w:tr w:rsidR="00F2524A" w:rsidRPr="0009799F" w14:paraId="300BA70E" w14:textId="77777777" w:rsidTr="00F2524A">
        <w:trPr>
          <w:jc w:val="center"/>
        </w:trPr>
        <w:tc>
          <w:tcPr>
            <w:tcW w:w="9214" w:type="dxa"/>
            <w:shd w:val="clear" w:color="auto" w:fill="FFFF00"/>
          </w:tcPr>
          <w:p w14:paraId="580AC3F0" w14:textId="77777777" w:rsidR="00F2524A" w:rsidRPr="00D63823" w:rsidRDefault="00F2524A" w:rsidP="00E47EF3">
            <w:pPr>
              <w:ind w:left="1027" w:hanging="992"/>
              <w:jc w:val="both"/>
              <w:rPr>
                <w:rFonts w:ascii="MyriadPro-Regular" w:hAnsi="MyriadPro-Regular" w:cs="Arial"/>
              </w:rPr>
            </w:pPr>
            <w:r w:rsidRPr="00D63823">
              <w:rPr>
                <w:rFonts w:ascii="MyriadPro-Regular" w:hAnsi="MyriadPro-Regular" w:cs="Arial"/>
              </w:rPr>
              <w:t>Línea estratégica</w:t>
            </w:r>
          </w:p>
        </w:tc>
      </w:tr>
      <w:tr w:rsidR="00F2524A" w:rsidRPr="0009799F" w14:paraId="10AE44CB" w14:textId="77777777" w:rsidTr="00F2524A">
        <w:trPr>
          <w:jc w:val="center"/>
        </w:trPr>
        <w:tc>
          <w:tcPr>
            <w:tcW w:w="9214" w:type="dxa"/>
            <w:shd w:val="clear" w:color="auto" w:fill="auto"/>
          </w:tcPr>
          <w:p w14:paraId="4A1487E5" w14:textId="77777777" w:rsidR="00F2524A" w:rsidRPr="00D63823" w:rsidRDefault="00F2524A" w:rsidP="00E47EF3">
            <w:pPr>
              <w:ind w:left="1311" w:hanging="850"/>
              <w:jc w:val="both"/>
              <w:rPr>
                <w:rFonts w:ascii="MyriadPro-Regular" w:hAnsi="MyriadPro-Regular" w:cs="Arial"/>
              </w:rPr>
            </w:pPr>
            <w:r w:rsidRPr="00D63823">
              <w:rPr>
                <w:rFonts w:ascii="MyriadPro-Regular" w:hAnsi="MyriadPro-Regular" w:cs="Arial"/>
              </w:rPr>
              <w:t>2.2.3 Abatir la violencia y la delincuencia.</w:t>
            </w:r>
          </w:p>
        </w:tc>
      </w:tr>
      <w:tr w:rsidR="00F2524A" w:rsidRPr="0009799F" w14:paraId="60A85D9D" w14:textId="77777777" w:rsidTr="00F2524A">
        <w:trPr>
          <w:jc w:val="center"/>
        </w:trPr>
        <w:tc>
          <w:tcPr>
            <w:tcW w:w="9214" w:type="dxa"/>
            <w:shd w:val="clear" w:color="auto" w:fill="FFFF00"/>
          </w:tcPr>
          <w:p w14:paraId="0891E91B" w14:textId="77777777" w:rsidR="00F2524A" w:rsidRPr="00D63823" w:rsidRDefault="00F2524A" w:rsidP="00E47EF3">
            <w:pPr>
              <w:ind w:left="176"/>
              <w:rPr>
                <w:rFonts w:ascii="MyriadPro-Regular" w:hAnsi="MyriadPro-Regular" w:cs="Arial"/>
              </w:rPr>
            </w:pPr>
            <w:r w:rsidRPr="00D63823">
              <w:rPr>
                <w:rFonts w:ascii="MyriadPro-Regular" w:hAnsi="MyriadPro-Regular" w:cs="Arial"/>
              </w:rPr>
              <w:t>Acciones</w:t>
            </w:r>
          </w:p>
        </w:tc>
      </w:tr>
      <w:tr w:rsidR="00F2524A" w:rsidRPr="0009799F" w14:paraId="75115EEB" w14:textId="77777777" w:rsidTr="00F2524A">
        <w:trPr>
          <w:jc w:val="center"/>
        </w:trPr>
        <w:tc>
          <w:tcPr>
            <w:tcW w:w="9214" w:type="dxa"/>
            <w:shd w:val="clear" w:color="auto" w:fill="auto"/>
          </w:tcPr>
          <w:p w14:paraId="361C41B4" w14:textId="77777777" w:rsidR="00F2524A" w:rsidRPr="00D63823" w:rsidRDefault="00F2524A" w:rsidP="00E47EF3">
            <w:pPr>
              <w:ind w:left="1594" w:hanging="709"/>
              <w:jc w:val="both"/>
              <w:rPr>
                <w:rFonts w:ascii="MyriadPro-Regular" w:hAnsi="MyriadPro-Regular" w:cs="Arial"/>
              </w:rPr>
            </w:pPr>
            <w:r w:rsidRPr="00D63823">
              <w:rPr>
                <w:rFonts w:ascii="MyriadPro-Regular" w:hAnsi="MyriadPro-Regular" w:cs="Arial"/>
              </w:rPr>
              <w:t>2.2.3.1 Difundir los derechos de las víctimas.</w:t>
            </w:r>
          </w:p>
        </w:tc>
      </w:tr>
      <w:tr w:rsidR="00F2524A" w:rsidRPr="0009799F" w14:paraId="01DCAD89" w14:textId="77777777" w:rsidTr="00F2524A">
        <w:trPr>
          <w:jc w:val="center"/>
        </w:trPr>
        <w:tc>
          <w:tcPr>
            <w:tcW w:w="9214" w:type="dxa"/>
            <w:shd w:val="clear" w:color="auto" w:fill="auto"/>
          </w:tcPr>
          <w:p w14:paraId="367356FB" w14:textId="77777777" w:rsidR="00F2524A" w:rsidRPr="00D63823" w:rsidRDefault="00F2524A" w:rsidP="00E47EF3">
            <w:pPr>
              <w:ind w:left="1594" w:hanging="709"/>
              <w:jc w:val="both"/>
              <w:rPr>
                <w:rFonts w:ascii="MyriadPro-Regular" w:hAnsi="MyriadPro-Regular" w:cs="Arial"/>
              </w:rPr>
            </w:pPr>
            <w:r w:rsidRPr="00D63823">
              <w:rPr>
                <w:rFonts w:ascii="MyriadPro-Regular" w:hAnsi="MyriadPro-Regular" w:cs="Arial"/>
              </w:rPr>
              <w:t>2.2.3.2 Reforzar las acciones de seguridad pública en comunidades con mayor índice de violencia.</w:t>
            </w:r>
          </w:p>
        </w:tc>
      </w:tr>
      <w:tr w:rsidR="00F2524A" w:rsidRPr="0009799F" w14:paraId="57BCBF85" w14:textId="77777777" w:rsidTr="00F2524A">
        <w:trPr>
          <w:jc w:val="center"/>
        </w:trPr>
        <w:tc>
          <w:tcPr>
            <w:tcW w:w="9214" w:type="dxa"/>
            <w:shd w:val="clear" w:color="auto" w:fill="auto"/>
          </w:tcPr>
          <w:p w14:paraId="09FA05CA" w14:textId="77777777" w:rsidR="00F2524A" w:rsidRPr="00D63823" w:rsidRDefault="00F2524A" w:rsidP="00E47EF3">
            <w:pPr>
              <w:ind w:left="1594" w:hanging="709"/>
              <w:jc w:val="both"/>
              <w:rPr>
                <w:rFonts w:ascii="MyriadPro-Regular" w:hAnsi="MyriadPro-Regular" w:cs="Arial"/>
              </w:rPr>
            </w:pPr>
            <w:r w:rsidRPr="00D63823">
              <w:rPr>
                <w:rFonts w:ascii="MyriadPro-Regular" w:hAnsi="MyriadPro-Regular" w:cs="Arial"/>
              </w:rPr>
              <w:t xml:space="preserve">2.2.3.3 Utilizar las </w:t>
            </w:r>
            <w:proofErr w:type="spellStart"/>
            <w:r w:rsidRPr="00D63823">
              <w:rPr>
                <w:rFonts w:ascii="MyriadPro-Regular" w:hAnsi="MyriadPro-Regular" w:cs="Arial"/>
              </w:rPr>
              <w:t>TIC´s</w:t>
            </w:r>
            <w:proofErr w:type="spellEnd"/>
            <w:r w:rsidRPr="00D63823">
              <w:rPr>
                <w:rFonts w:ascii="MyriadPro-Regular" w:hAnsi="MyriadPro-Regular" w:cs="Arial"/>
              </w:rPr>
              <w:t xml:space="preserve"> para difundir la paz y resolución de conflictos.</w:t>
            </w:r>
          </w:p>
        </w:tc>
      </w:tr>
      <w:tr w:rsidR="00F2524A" w:rsidRPr="0009799F" w14:paraId="12B77DFC" w14:textId="77777777" w:rsidTr="00F2524A">
        <w:trPr>
          <w:jc w:val="center"/>
        </w:trPr>
        <w:tc>
          <w:tcPr>
            <w:tcW w:w="9214" w:type="dxa"/>
            <w:shd w:val="clear" w:color="auto" w:fill="auto"/>
          </w:tcPr>
          <w:p w14:paraId="7F0C376E" w14:textId="77777777" w:rsidR="00F2524A" w:rsidRPr="00D63823" w:rsidRDefault="00F2524A" w:rsidP="00E47EF3">
            <w:pPr>
              <w:ind w:left="1594" w:hanging="709"/>
              <w:jc w:val="both"/>
              <w:rPr>
                <w:rFonts w:ascii="MyriadPro-Regular" w:hAnsi="MyriadPro-Regular" w:cs="Arial"/>
              </w:rPr>
            </w:pPr>
            <w:r w:rsidRPr="00D63823">
              <w:rPr>
                <w:rFonts w:ascii="MyriadPro-Regular" w:hAnsi="MyriadPro-Regular" w:cs="Arial"/>
              </w:rPr>
              <w:t>2.2.3.4 Crear programas de prevención a partir de la generación de proyectos culturales que favorezcan la reinserción social.</w:t>
            </w:r>
          </w:p>
        </w:tc>
      </w:tr>
      <w:tr w:rsidR="00F2524A" w:rsidRPr="0009799F" w14:paraId="683E82A4" w14:textId="77777777" w:rsidTr="00F2524A">
        <w:trPr>
          <w:jc w:val="center"/>
        </w:trPr>
        <w:tc>
          <w:tcPr>
            <w:tcW w:w="9214" w:type="dxa"/>
            <w:shd w:val="clear" w:color="auto" w:fill="auto"/>
          </w:tcPr>
          <w:p w14:paraId="2468EC50" w14:textId="77777777" w:rsidR="00F2524A" w:rsidRPr="00D63823" w:rsidRDefault="00F2524A" w:rsidP="00E47EF3">
            <w:pPr>
              <w:ind w:left="1594" w:hanging="709"/>
              <w:jc w:val="both"/>
              <w:rPr>
                <w:rFonts w:ascii="MyriadPro-Regular" w:hAnsi="MyriadPro-Regular" w:cs="Arial"/>
              </w:rPr>
            </w:pPr>
            <w:r w:rsidRPr="00D63823">
              <w:rPr>
                <w:rFonts w:ascii="MyriadPro-Regular" w:hAnsi="MyriadPro-Regular" w:cs="Arial"/>
              </w:rPr>
              <w:t>2.2.3.5 Implementar programas de rehabilitación para personas en situación de confinamiento, a través de actividades culturales, artesanales, artísticas y de apoyo emocional, con el fin de construir capacidades de compromiso y responsabilidad, así como integrar hábitos, normas y reglas a estilos de vida para su reinserción en la sociedad.</w:t>
            </w:r>
          </w:p>
        </w:tc>
      </w:tr>
      <w:tr w:rsidR="00F2524A" w:rsidRPr="0009799F" w14:paraId="0513ACFA" w14:textId="77777777" w:rsidTr="00F2524A">
        <w:trPr>
          <w:jc w:val="center"/>
        </w:trPr>
        <w:tc>
          <w:tcPr>
            <w:tcW w:w="9214" w:type="dxa"/>
            <w:shd w:val="clear" w:color="auto" w:fill="auto"/>
          </w:tcPr>
          <w:p w14:paraId="4126B5A7" w14:textId="77777777" w:rsidR="00F2524A" w:rsidRPr="00D63823" w:rsidRDefault="00F2524A" w:rsidP="00E47EF3">
            <w:pPr>
              <w:ind w:left="1594" w:hanging="709"/>
              <w:jc w:val="both"/>
              <w:rPr>
                <w:rFonts w:ascii="MyriadPro-Regular" w:hAnsi="MyriadPro-Regular" w:cs="Arial"/>
              </w:rPr>
            </w:pPr>
            <w:r w:rsidRPr="00D63823">
              <w:rPr>
                <w:rFonts w:ascii="MyriadPro-Regular" w:hAnsi="MyriadPro-Regular" w:cs="Arial"/>
              </w:rPr>
              <w:t>2.2.3.6 Implementar programas y campañas para erradicar la violencia de género y difusión de los derechos humanos de las mujeres, así como, fomentar la cultura de la denuncia respecto a los delitos de género.</w:t>
            </w:r>
          </w:p>
        </w:tc>
      </w:tr>
      <w:tr w:rsidR="00F2524A" w:rsidRPr="0009799F" w14:paraId="428E9F37" w14:textId="77777777" w:rsidTr="00F2524A">
        <w:trPr>
          <w:jc w:val="center"/>
        </w:trPr>
        <w:tc>
          <w:tcPr>
            <w:tcW w:w="9214" w:type="dxa"/>
            <w:shd w:val="clear" w:color="auto" w:fill="FFFF00"/>
          </w:tcPr>
          <w:p w14:paraId="5EDF961C" w14:textId="77777777" w:rsidR="00F2524A" w:rsidRPr="00D63823" w:rsidRDefault="00F2524A" w:rsidP="00E47EF3">
            <w:pPr>
              <w:ind w:left="85" w:hanging="36"/>
              <w:jc w:val="both"/>
              <w:rPr>
                <w:rFonts w:ascii="MyriadPro-Regular" w:hAnsi="MyriadPro-Regular" w:cs="Arial"/>
              </w:rPr>
            </w:pPr>
            <w:r w:rsidRPr="00D63823">
              <w:rPr>
                <w:rFonts w:ascii="MyriadPro-Regular" w:hAnsi="MyriadPro-Regular" w:cs="Arial"/>
              </w:rPr>
              <w:t>Línea estratégica</w:t>
            </w:r>
          </w:p>
        </w:tc>
      </w:tr>
      <w:tr w:rsidR="00F2524A" w:rsidRPr="0009799F" w14:paraId="42B72F4A" w14:textId="77777777" w:rsidTr="00F2524A">
        <w:trPr>
          <w:jc w:val="center"/>
        </w:trPr>
        <w:tc>
          <w:tcPr>
            <w:tcW w:w="9214" w:type="dxa"/>
            <w:shd w:val="clear" w:color="auto" w:fill="auto"/>
          </w:tcPr>
          <w:p w14:paraId="747EE229" w14:textId="77777777" w:rsidR="00F2524A" w:rsidRPr="00D63823" w:rsidRDefault="00F2524A" w:rsidP="00E47EF3">
            <w:pPr>
              <w:ind w:left="1339" w:hanging="746"/>
              <w:jc w:val="both"/>
              <w:rPr>
                <w:rFonts w:ascii="MyriadPro-Regular" w:hAnsi="MyriadPro-Regular" w:cs="Arial"/>
              </w:rPr>
            </w:pPr>
            <w:r w:rsidRPr="00D63823">
              <w:rPr>
                <w:rFonts w:ascii="MyriadPro-Regular" w:hAnsi="MyriadPro-Regular" w:cs="Arial"/>
              </w:rPr>
              <w:t>2.2.4 Garantizar la transversalidad de las acciones de seguridad y justicia.</w:t>
            </w:r>
          </w:p>
        </w:tc>
      </w:tr>
      <w:tr w:rsidR="00F2524A" w:rsidRPr="0009799F" w14:paraId="2DE84593" w14:textId="77777777" w:rsidTr="00F2524A">
        <w:trPr>
          <w:jc w:val="center"/>
        </w:trPr>
        <w:tc>
          <w:tcPr>
            <w:tcW w:w="9214" w:type="dxa"/>
            <w:shd w:val="clear" w:color="auto" w:fill="FFFF00"/>
          </w:tcPr>
          <w:p w14:paraId="089DEF0C" w14:textId="77777777" w:rsidR="00F2524A" w:rsidRPr="00D63823" w:rsidRDefault="00F2524A" w:rsidP="00E47EF3">
            <w:pPr>
              <w:ind w:left="1255" w:hanging="992"/>
              <w:jc w:val="both"/>
              <w:rPr>
                <w:rFonts w:ascii="MyriadPro-Regular" w:hAnsi="MyriadPro-Regular" w:cs="Arial"/>
              </w:rPr>
            </w:pPr>
            <w:r w:rsidRPr="00D63823">
              <w:rPr>
                <w:rFonts w:ascii="MyriadPro-Regular" w:hAnsi="MyriadPro-Regular" w:cs="Arial"/>
              </w:rPr>
              <w:t>Acciones</w:t>
            </w:r>
          </w:p>
        </w:tc>
      </w:tr>
      <w:tr w:rsidR="00F2524A" w:rsidRPr="0009799F" w14:paraId="23605E41" w14:textId="77777777" w:rsidTr="00F2524A">
        <w:trPr>
          <w:jc w:val="center"/>
        </w:trPr>
        <w:tc>
          <w:tcPr>
            <w:tcW w:w="9214" w:type="dxa"/>
            <w:shd w:val="clear" w:color="auto" w:fill="auto"/>
          </w:tcPr>
          <w:p w14:paraId="42C1E44E" w14:textId="77777777" w:rsidR="00F2524A" w:rsidRPr="00D63823" w:rsidRDefault="00F2524A" w:rsidP="00E47EF3">
            <w:pPr>
              <w:ind w:left="1593" w:hanging="708"/>
              <w:rPr>
                <w:rFonts w:ascii="MyriadPro-Regular" w:hAnsi="MyriadPro-Regular" w:cs="Arial"/>
              </w:rPr>
            </w:pPr>
            <w:r w:rsidRPr="00D63823">
              <w:rPr>
                <w:rFonts w:ascii="MyriadPro-Regular" w:hAnsi="MyriadPro-Regular" w:cs="Arial"/>
              </w:rPr>
              <w:t>2.2.4.1 Establecer campañas permanentes de difusión sobre valores y cumplimiento de las leyes.</w:t>
            </w:r>
          </w:p>
        </w:tc>
      </w:tr>
      <w:tr w:rsidR="00F2524A" w:rsidRPr="0009799F" w14:paraId="54DF2118" w14:textId="77777777" w:rsidTr="00F2524A">
        <w:trPr>
          <w:jc w:val="center"/>
        </w:trPr>
        <w:tc>
          <w:tcPr>
            <w:tcW w:w="9214" w:type="dxa"/>
            <w:shd w:val="clear" w:color="auto" w:fill="auto"/>
          </w:tcPr>
          <w:p w14:paraId="430C95E4" w14:textId="77777777" w:rsidR="00F2524A" w:rsidRPr="00D63823" w:rsidRDefault="00F2524A" w:rsidP="00E47EF3">
            <w:pPr>
              <w:ind w:left="1593" w:hanging="708"/>
              <w:jc w:val="both"/>
              <w:rPr>
                <w:rFonts w:ascii="MyriadPro-Regular" w:hAnsi="MyriadPro-Regular" w:cs="Arial"/>
              </w:rPr>
            </w:pPr>
            <w:r w:rsidRPr="00D63823">
              <w:rPr>
                <w:rFonts w:ascii="MyriadPro-Regular" w:hAnsi="MyriadPro-Regular" w:cs="Arial"/>
              </w:rPr>
              <w:t>2.2.4.2 Implementar un programa que impulse los valores cívicos desde el seno familiar.</w:t>
            </w:r>
          </w:p>
        </w:tc>
      </w:tr>
      <w:tr w:rsidR="00F2524A" w:rsidRPr="0009799F" w14:paraId="62A623CE" w14:textId="77777777" w:rsidTr="00F2524A">
        <w:trPr>
          <w:jc w:val="center"/>
        </w:trPr>
        <w:tc>
          <w:tcPr>
            <w:tcW w:w="9214" w:type="dxa"/>
            <w:shd w:val="clear" w:color="auto" w:fill="auto"/>
          </w:tcPr>
          <w:p w14:paraId="0F058AAF" w14:textId="77777777" w:rsidR="00F2524A" w:rsidRPr="00D63823" w:rsidRDefault="00F2524A" w:rsidP="00E47EF3">
            <w:pPr>
              <w:ind w:left="1593" w:hanging="708"/>
              <w:rPr>
                <w:rFonts w:ascii="MyriadPro-Regular" w:hAnsi="MyriadPro-Regular" w:cs="Arial"/>
              </w:rPr>
            </w:pPr>
            <w:r w:rsidRPr="00D63823">
              <w:rPr>
                <w:rFonts w:ascii="MyriadPro-Regular" w:hAnsi="MyriadPro-Regular" w:cs="Arial"/>
              </w:rPr>
              <w:t>2.2.4.3 Fomentar la tutela del derecho humano a vivir libre de discriminación a través de mecanismos que permitan su adecuado respeto.</w:t>
            </w:r>
          </w:p>
        </w:tc>
      </w:tr>
      <w:tr w:rsidR="00F2524A" w:rsidRPr="0009799F" w14:paraId="31368ACC" w14:textId="77777777" w:rsidTr="00F2524A">
        <w:trPr>
          <w:jc w:val="center"/>
        </w:trPr>
        <w:tc>
          <w:tcPr>
            <w:tcW w:w="9214" w:type="dxa"/>
            <w:shd w:val="clear" w:color="auto" w:fill="FFFF00"/>
          </w:tcPr>
          <w:p w14:paraId="1AB87393" w14:textId="77777777" w:rsidR="00F2524A" w:rsidRPr="00D63823" w:rsidRDefault="00F2524A" w:rsidP="00E47EF3">
            <w:pPr>
              <w:ind w:left="1255" w:hanging="992"/>
              <w:jc w:val="both"/>
              <w:rPr>
                <w:rFonts w:ascii="MyriadPro-Regular" w:hAnsi="MyriadPro-Regular" w:cs="Arial"/>
              </w:rPr>
            </w:pPr>
            <w:r w:rsidRPr="00D63823">
              <w:rPr>
                <w:rFonts w:ascii="MyriadPro-Regular" w:hAnsi="MyriadPro-Regular" w:cs="Arial"/>
              </w:rPr>
              <w:t>Línea estratégica</w:t>
            </w:r>
          </w:p>
        </w:tc>
      </w:tr>
      <w:tr w:rsidR="00F2524A" w:rsidRPr="0009799F" w14:paraId="461DDC86" w14:textId="77777777" w:rsidTr="00F2524A">
        <w:trPr>
          <w:jc w:val="center"/>
        </w:trPr>
        <w:tc>
          <w:tcPr>
            <w:tcW w:w="9214" w:type="dxa"/>
            <w:shd w:val="clear" w:color="auto" w:fill="auto"/>
          </w:tcPr>
          <w:p w14:paraId="14777706" w14:textId="77777777" w:rsidR="00F2524A" w:rsidRPr="00D63823" w:rsidRDefault="00F2524A" w:rsidP="00E47EF3">
            <w:pPr>
              <w:ind w:left="487" w:hanging="36"/>
              <w:jc w:val="both"/>
              <w:rPr>
                <w:rFonts w:ascii="MyriadPro-Regular" w:hAnsi="MyriadPro-Regular" w:cs="Arial"/>
              </w:rPr>
            </w:pPr>
            <w:r w:rsidRPr="00D63823">
              <w:rPr>
                <w:rFonts w:ascii="MyriadPro-Regular" w:hAnsi="MyriadPro-Regular" w:cs="Arial"/>
              </w:rPr>
              <w:t>2.2.5 Transformar el sistema de seguridad y de procuración de justicia.</w:t>
            </w:r>
          </w:p>
        </w:tc>
      </w:tr>
      <w:tr w:rsidR="00F2524A" w:rsidRPr="0009799F" w14:paraId="1579FB4D" w14:textId="77777777" w:rsidTr="00F2524A">
        <w:trPr>
          <w:jc w:val="center"/>
        </w:trPr>
        <w:tc>
          <w:tcPr>
            <w:tcW w:w="9214" w:type="dxa"/>
            <w:shd w:val="clear" w:color="auto" w:fill="FFFF00"/>
          </w:tcPr>
          <w:p w14:paraId="02A1D521" w14:textId="77777777" w:rsidR="00F2524A" w:rsidRPr="00D63823" w:rsidRDefault="00F2524A" w:rsidP="00E47EF3">
            <w:pPr>
              <w:ind w:left="1255" w:hanging="992"/>
              <w:jc w:val="both"/>
              <w:rPr>
                <w:rFonts w:ascii="MyriadPro-Regular" w:hAnsi="MyriadPro-Regular" w:cs="Arial"/>
              </w:rPr>
            </w:pPr>
            <w:r w:rsidRPr="00D63823">
              <w:rPr>
                <w:rFonts w:ascii="MyriadPro-Regular" w:hAnsi="MyriadPro-Regular" w:cs="Arial"/>
              </w:rPr>
              <w:t>Acciones</w:t>
            </w:r>
          </w:p>
        </w:tc>
      </w:tr>
      <w:tr w:rsidR="00F2524A" w:rsidRPr="0009799F" w14:paraId="4036F09A" w14:textId="77777777" w:rsidTr="00F2524A">
        <w:trPr>
          <w:jc w:val="center"/>
        </w:trPr>
        <w:tc>
          <w:tcPr>
            <w:tcW w:w="9214" w:type="dxa"/>
            <w:shd w:val="clear" w:color="auto" w:fill="auto"/>
          </w:tcPr>
          <w:p w14:paraId="03AA882E" w14:textId="77777777" w:rsidR="00F2524A" w:rsidRPr="00D63823" w:rsidRDefault="00F2524A" w:rsidP="00E47EF3">
            <w:pPr>
              <w:ind w:left="2161" w:hanging="886"/>
              <w:jc w:val="both"/>
              <w:rPr>
                <w:rFonts w:ascii="MyriadPro-Regular" w:hAnsi="MyriadPro-Regular" w:cs="Arial"/>
              </w:rPr>
            </w:pPr>
            <w:r w:rsidRPr="00D63823">
              <w:rPr>
                <w:rFonts w:ascii="MyriadPro-Regular" w:hAnsi="MyriadPro-Regular" w:cs="Arial"/>
              </w:rPr>
              <w:t>2.2.5.1 Fortalecer la implementación del nuevo Sistema de Justicia Penal.</w:t>
            </w:r>
          </w:p>
        </w:tc>
      </w:tr>
      <w:tr w:rsidR="00F2524A" w:rsidRPr="0009799F" w14:paraId="56C1194D" w14:textId="77777777" w:rsidTr="00F2524A">
        <w:trPr>
          <w:jc w:val="center"/>
        </w:trPr>
        <w:tc>
          <w:tcPr>
            <w:tcW w:w="9214" w:type="dxa"/>
            <w:shd w:val="clear" w:color="auto" w:fill="auto"/>
          </w:tcPr>
          <w:p w14:paraId="16B91E03" w14:textId="77777777" w:rsidR="00F2524A" w:rsidRPr="00D63823" w:rsidRDefault="00F2524A" w:rsidP="00E47EF3">
            <w:pPr>
              <w:ind w:left="2161" w:hanging="886"/>
              <w:jc w:val="both"/>
              <w:rPr>
                <w:rFonts w:ascii="MyriadPro-Regular" w:hAnsi="MyriadPro-Regular" w:cs="Arial"/>
              </w:rPr>
            </w:pPr>
            <w:r w:rsidRPr="00D63823">
              <w:rPr>
                <w:rFonts w:ascii="MyriadPro-Regular" w:hAnsi="MyriadPro-Regular" w:cs="Arial"/>
              </w:rPr>
              <w:t>2.2.5.2 Crear el programa estatal de derechos humanos.</w:t>
            </w:r>
          </w:p>
        </w:tc>
      </w:tr>
      <w:tr w:rsidR="00F2524A" w:rsidRPr="0009799F" w14:paraId="699FC922" w14:textId="77777777" w:rsidTr="00F2524A">
        <w:trPr>
          <w:jc w:val="center"/>
        </w:trPr>
        <w:tc>
          <w:tcPr>
            <w:tcW w:w="9214" w:type="dxa"/>
            <w:shd w:val="clear" w:color="auto" w:fill="auto"/>
          </w:tcPr>
          <w:p w14:paraId="48F4925D" w14:textId="77777777" w:rsidR="00F2524A" w:rsidRPr="00D63823" w:rsidRDefault="00F2524A" w:rsidP="00E47EF3">
            <w:pPr>
              <w:ind w:left="2161" w:hanging="886"/>
              <w:jc w:val="both"/>
              <w:rPr>
                <w:rFonts w:ascii="MyriadPro-Regular" w:hAnsi="MyriadPro-Regular" w:cs="Arial"/>
              </w:rPr>
            </w:pPr>
            <w:r w:rsidRPr="00D63823">
              <w:rPr>
                <w:rFonts w:ascii="MyriadPro-Regular" w:hAnsi="MyriadPro-Regular" w:cs="Arial"/>
              </w:rPr>
              <w:t>2.2.5.3 Crear la unidad de medidas cautelares y suspensión provisional del proceso, para contribuir en la aplicación efectiva de las medidas judiciales del Sistema de Justicia Penal.</w:t>
            </w:r>
          </w:p>
        </w:tc>
      </w:tr>
    </w:tbl>
    <w:p w14:paraId="31F404E7" w14:textId="77777777" w:rsidR="00F2524A" w:rsidRPr="001E7327" w:rsidRDefault="00F2524A" w:rsidP="00F2524A">
      <w:pPr>
        <w:jc w:val="both"/>
        <w:rPr>
          <w:rFonts w:ascii="GalanoGrotesque-Medium" w:hAnsi="GalanoGrotesque-Medium" w:cs="Arial"/>
          <w:color w:val="4A4F44"/>
        </w:rPr>
      </w:pPr>
    </w:p>
    <w:p w14:paraId="796CECCE" w14:textId="77777777" w:rsidR="00F2524A" w:rsidRPr="001E7327" w:rsidRDefault="00F2524A" w:rsidP="00F2524A">
      <w:pPr>
        <w:rPr>
          <w:rFonts w:ascii="GalanoGrotesque-Medium" w:hAnsi="GalanoGrotesque-Medium" w:cs="Arial"/>
          <w:szCs w:val="28"/>
        </w:rPr>
      </w:pPr>
      <w:r w:rsidRPr="001E7327">
        <w:rPr>
          <w:rFonts w:ascii="GalanoGrotesque-Medium" w:hAnsi="GalanoGrotesque-Medium" w:cs="Arial"/>
          <w:szCs w:val="28"/>
        </w:rPr>
        <w:br w:type="page"/>
      </w:r>
    </w:p>
    <w:p w14:paraId="62C58156" w14:textId="77777777" w:rsidR="00FC2CFB" w:rsidRDefault="00FC2CFB" w:rsidP="00F2524A">
      <w:pPr>
        <w:tabs>
          <w:tab w:val="left" w:pos="3885"/>
        </w:tabs>
        <w:rPr>
          <w:rFonts w:ascii="GalanoGrotesque-Medium" w:eastAsia="Times New Roman" w:hAnsi="GalanoGrotesque-Medium" w:cs="Arial"/>
          <w:sz w:val="24"/>
          <w:szCs w:val="24"/>
          <w:lang w:val="es-ES" w:eastAsia="es-ES"/>
        </w:rPr>
        <w:sectPr w:rsidR="00FC2CFB" w:rsidSect="003E3262">
          <w:footnotePr>
            <w:numStart w:val="4"/>
          </w:footnotePr>
          <w:type w:val="continuous"/>
          <w:pgSz w:w="12240" w:h="15840"/>
          <w:pgMar w:top="1418" w:right="1134" w:bottom="1418" w:left="1134" w:header="709" w:footer="709" w:gutter="0"/>
          <w:cols w:space="567"/>
          <w:docGrid w:linePitch="360"/>
        </w:sectPr>
      </w:pPr>
    </w:p>
    <w:p w14:paraId="4DFFACAA" w14:textId="77777777" w:rsidR="00F2524A" w:rsidRDefault="00FC2CFB" w:rsidP="00F2524A">
      <w:pPr>
        <w:tabs>
          <w:tab w:val="left" w:pos="3885"/>
        </w:tabs>
        <w:rPr>
          <w:rFonts w:ascii="GalanoGrotesque-Medium" w:eastAsia="Times New Roman" w:hAnsi="GalanoGrotesque-Medium" w:cs="Arial"/>
          <w:sz w:val="24"/>
          <w:szCs w:val="24"/>
          <w:lang w:val="es-ES" w:eastAsia="es-ES"/>
        </w:rPr>
        <w:sectPr w:rsidR="00F2524A" w:rsidSect="00FC2CFB">
          <w:footnotePr>
            <w:numStart w:val="4"/>
          </w:footnotePr>
          <w:pgSz w:w="12240" w:h="15840"/>
          <w:pgMar w:top="1418" w:right="1134" w:bottom="1418" w:left="1134" w:header="709" w:footer="709" w:gutter="0"/>
          <w:cols w:space="567"/>
          <w:docGrid w:linePitch="360"/>
        </w:sectPr>
      </w:pPr>
      <w:r>
        <w:rPr>
          <w:rFonts w:ascii="GalanoGrotesque-Medium" w:eastAsia="Times New Roman" w:hAnsi="GalanoGrotesque-Medium" w:cs="Arial"/>
          <w:noProof/>
          <w:sz w:val="24"/>
          <w:szCs w:val="24"/>
          <w:lang w:val="es-ES" w:eastAsia="es-ES"/>
        </w:rPr>
        <w:lastRenderedPageBreak/>
        <w:drawing>
          <wp:anchor distT="0" distB="0" distL="114300" distR="114300" simplePos="0" relativeHeight="251807232" behindDoc="0" locked="0" layoutInCell="1" allowOverlap="1" wp14:anchorId="1BF32E9C" wp14:editId="5B4FC86C">
            <wp:simplePos x="0" y="0"/>
            <wp:positionH relativeFrom="page">
              <wp:align>right</wp:align>
            </wp:positionH>
            <wp:positionV relativeFrom="paragraph">
              <wp:posOffset>-1109271</wp:posOffset>
            </wp:positionV>
            <wp:extent cx="7759218" cy="10043721"/>
            <wp:effectExtent l="0" t="0" r="0" b="0"/>
            <wp:wrapNone/>
            <wp:docPr id="59393" name="Imagen 5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4" name="Tema-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59218" cy="10043721"/>
                    </a:xfrm>
                    <a:prstGeom prst="rect">
                      <a:avLst/>
                    </a:prstGeom>
                  </pic:spPr>
                </pic:pic>
              </a:graphicData>
            </a:graphic>
            <wp14:sizeRelH relativeFrom="margin">
              <wp14:pctWidth>0</wp14:pctWidth>
            </wp14:sizeRelH>
            <wp14:sizeRelV relativeFrom="margin">
              <wp14:pctHeight>0</wp14:pctHeight>
            </wp14:sizeRelV>
          </wp:anchor>
        </w:drawing>
      </w:r>
    </w:p>
    <w:p w14:paraId="648FC93A" w14:textId="77777777" w:rsidR="00F2524A" w:rsidRPr="00F2524A" w:rsidRDefault="00F16917" w:rsidP="00F16917">
      <w:pPr>
        <w:keepNext/>
        <w:spacing w:after="320"/>
        <w:ind w:left="709"/>
        <w:outlineLvl w:val="0"/>
        <w:rPr>
          <w:rFonts w:ascii="GalanoGrotesque-Medium" w:hAnsi="GalanoGrotesque-Medium" w:cs="Arial"/>
          <w:b/>
          <w:bCs/>
          <w:kern w:val="32"/>
          <w:sz w:val="32"/>
          <w:szCs w:val="32"/>
        </w:rPr>
      </w:pPr>
      <w:bookmarkStart w:id="14" w:name="_Toc455045713"/>
      <w:bookmarkStart w:id="15" w:name="_Toc458015639"/>
      <w:r>
        <w:rPr>
          <w:rFonts w:ascii="GalanoGrotesque-Medium" w:eastAsia="Times New Roman" w:hAnsi="GalanoGrotesque-Medium" w:cs="Arial"/>
          <w:b/>
          <w:bCs/>
          <w:noProof/>
          <w:kern w:val="32"/>
          <w:sz w:val="32"/>
          <w:szCs w:val="32"/>
          <w:lang w:val="es-ES" w:eastAsia="es-ES"/>
        </w:rPr>
        <w:lastRenderedPageBreak/>
        <w:drawing>
          <wp:anchor distT="0" distB="0" distL="114300" distR="114300" simplePos="0" relativeHeight="251808256" behindDoc="0" locked="0" layoutInCell="1" allowOverlap="1" wp14:anchorId="1EC8C874" wp14:editId="17BECF3A">
            <wp:simplePos x="0" y="0"/>
            <wp:positionH relativeFrom="column">
              <wp:posOffset>-337318</wp:posOffset>
            </wp:positionH>
            <wp:positionV relativeFrom="paragraph">
              <wp:posOffset>14531</wp:posOffset>
            </wp:positionV>
            <wp:extent cx="765544" cy="486224"/>
            <wp:effectExtent l="0" t="0" r="0" b="9525"/>
            <wp:wrapNone/>
            <wp:docPr id="59402" name="Imagen 5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9529" cy="4951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524A" w:rsidRPr="00F2524A">
        <w:rPr>
          <w:rFonts w:ascii="GalanoGrotesque-Medium" w:eastAsia="Times New Roman" w:hAnsi="GalanoGrotesque-Medium" w:cs="Arial"/>
          <w:b/>
          <w:bCs/>
          <w:kern w:val="32"/>
          <w:sz w:val="32"/>
          <w:szCs w:val="32"/>
          <w:lang w:val="es-ES" w:eastAsia="es-ES"/>
        </w:rPr>
        <w:t>Prevención del delito</w:t>
      </w:r>
      <w:bookmarkEnd w:id="14"/>
      <w:bookmarkEnd w:id="15"/>
    </w:p>
    <w:p w14:paraId="7B279D3E" w14:textId="77777777" w:rsidR="00F2524A" w:rsidRPr="00A00313" w:rsidRDefault="00F2524A" w:rsidP="00F16917">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Vivir en sociedad, con seguridad, confianza y solidaridad, conlleva a buscar acciones articuladas que requieren de una amplia participación social para lograr una mejor convivencia. La prevención del delito es una de las vertientes de la seguridad pública que atiende y combate el fenómeno social de la delincuencia en aras de salvaguardar la integridad y los derechos de las personas, así como preservar el orden y la paz social. Es por ello que la seguridad pública es un Eje de Gobernanza del PLADIEM.</w:t>
      </w:r>
    </w:p>
    <w:p w14:paraId="39C8584C" w14:textId="77777777" w:rsidR="00F2524A" w:rsidRPr="00A00313" w:rsidRDefault="00F2524A" w:rsidP="00F16917">
      <w:pPr>
        <w:spacing w:afterLines="160" w:after="384"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 xml:space="preserve">Las actividades deportivas, culturales y asistenciales representan excelentes medios para prevenir el delito, por lo que deben ser reforzadas. El deporte como disciplina implica el respeto de reglas, trabajo de equipo, logro de objetivos y determinación de metas como punto de partida para la superación personal desde su referente propio, mientras que en la cultura se aprende a convivir y compartir desde la tolerancia y el respeto a la diversidad de expresiones e ideas, y en la labor social se refuerza el sentido de cooperación, altruismo y solidaridad. </w:t>
      </w:r>
    </w:p>
    <w:p w14:paraId="55F0305A" w14:textId="77777777" w:rsidR="00F2524A" w:rsidRPr="00F16917" w:rsidRDefault="00F2524A" w:rsidP="00F16917">
      <w:pPr>
        <w:pStyle w:val="Prrafodelista"/>
        <w:numPr>
          <w:ilvl w:val="0"/>
          <w:numId w:val="20"/>
        </w:numPr>
        <w:spacing w:afterLines="160" w:after="384"/>
        <w:ind w:left="426" w:hanging="426"/>
        <w:jc w:val="both"/>
        <w:rPr>
          <w:rFonts w:ascii="MyriadPro-Regular" w:hAnsi="MyriadPro-Regular" w:cs="MyriadPro-Regular"/>
          <w:b/>
          <w:color w:val="414142"/>
          <w:szCs w:val="20"/>
        </w:rPr>
      </w:pPr>
      <w:r w:rsidRPr="00F16917">
        <w:rPr>
          <w:rFonts w:ascii="MyriadPro-Regular" w:hAnsi="MyriadPro-Regular" w:cs="MyriadPro-Regular"/>
          <w:b/>
          <w:color w:val="414142"/>
          <w:szCs w:val="20"/>
        </w:rPr>
        <w:lastRenderedPageBreak/>
        <w:t>Cómo nos encontramos</w:t>
      </w:r>
    </w:p>
    <w:p w14:paraId="7A7BD73D" w14:textId="77777777" w:rsidR="00F2524A" w:rsidRPr="00A00313" w:rsidRDefault="00F2524A" w:rsidP="00F16917">
      <w:pPr>
        <w:spacing w:afterLines="160" w:after="384"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t>Michoacán ocupa la posición número ocho a nivel nacional en cuanto al número de casas y centros de cultura. Es por ello que las actividades artísticas y culturales que existen en la Entidad se visualizan como acciones que pueden propiciar una cultura de paz y prosperidad.</w:t>
      </w:r>
    </w:p>
    <w:p w14:paraId="7BFD4A99" w14:textId="77777777" w:rsidR="00F16917" w:rsidRDefault="00F2524A" w:rsidP="00F16917">
      <w:pPr>
        <w:spacing w:afterLines="160" w:after="384" w:line="240" w:lineRule="auto"/>
        <w:jc w:val="both"/>
        <w:rPr>
          <w:rFonts w:ascii="MyriadPro-Regular" w:hAnsi="MyriadPro-Regular" w:cs="MyriadPro-Regular"/>
          <w:color w:val="414142"/>
          <w:sz w:val="20"/>
          <w:szCs w:val="20"/>
        </w:rPr>
        <w:sectPr w:rsidR="00F16917" w:rsidSect="00FC2CFB">
          <w:footnotePr>
            <w:numStart w:val="4"/>
          </w:footnotePr>
          <w:pgSz w:w="12240" w:h="15840"/>
          <w:pgMar w:top="1418" w:right="1134" w:bottom="1418" w:left="1134" w:header="709" w:footer="709" w:gutter="0"/>
          <w:cols w:num="2" w:space="567"/>
          <w:docGrid w:linePitch="360"/>
        </w:sectPr>
      </w:pPr>
      <w:r w:rsidRPr="00A00313">
        <w:rPr>
          <w:rFonts w:ascii="MyriadPro-Regular" w:hAnsi="MyriadPro-Regular" w:cs="MyriadPro-Regular"/>
          <w:color w:val="414142"/>
          <w:sz w:val="20"/>
          <w:szCs w:val="20"/>
        </w:rPr>
        <w:t>Un indicador que da cuenta del delito medido desde la cotidianeidad es la percepción ciudadana sobre la inseguridad. Esta percepción puede medirse con respecto al entorno más cercano, sitios públicos o la entidad del encuestado. Según la Encuesta Nacional sobre Victimización y Percepción de la Seguridad Pública 2014, el 82% de la población michoacana percibió en ese año inseguridad en su entidad, muy por arriba de la media nacional (73%), aunque sólo el 38.4% percibió inseguridad en su entorno más cercano.</w:t>
      </w:r>
    </w:p>
    <w:p w14:paraId="3F23D122" w14:textId="77777777" w:rsidR="00F2524A" w:rsidRPr="00F16917" w:rsidRDefault="00F2524A" w:rsidP="00F16917">
      <w:pPr>
        <w:spacing w:after="0" w:line="180" w:lineRule="exact"/>
        <w:jc w:val="center"/>
        <w:rPr>
          <w:rFonts w:ascii="GalanoGrotesque-Medium" w:eastAsia="Times New Roman" w:hAnsi="GalanoGrotesque-Medium" w:cs="Arial"/>
          <w:b/>
          <w:bCs/>
          <w:color w:val="000000"/>
          <w:sz w:val="16"/>
          <w:szCs w:val="24"/>
          <w:lang w:val="es-ES" w:eastAsia="es-ES"/>
        </w:rPr>
      </w:pPr>
      <w:r w:rsidRPr="00F16917">
        <w:rPr>
          <w:rFonts w:ascii="GalanoGrotesque-Medium" w:eastAsia="Times New Roman" w:hAnsi="GalanoGrotesque-Medium" w:cs="Arial"/>
          <w:b/>
          <w:bCs/>
          <w:color w:val="000000"/>
          <w:sz w:val="16"/>
          <w:szCs w:val="24"/>
          <w:lang w:val="es-ES" w:eastAsia="es-ES"/>
        </w:rPr>
        <w:lastRenderedPageBreak/>
        <w:t>Tabla 3.1</w:t>
      </w:r>
    </w:p>
    <w:p w14:paraId="5C1AE170" w14:textId="77777777" w:rsidR="00F2524A" w:rsidRPr="00F16917" w:rsidRDefault="00F2524A" w:rsidP="00F16917">
      <w:pPr>
        <w:spacing w:after="160" w:line="180" w:lineRule="exact"/>
        <w:jc w:val="center"/>
        <w:rPr>
          <w:rFonts w:ascii="GalanoGrotesque-Medium" w:eastAsia="Times New Roman" w:hAnsi="GalanoGrotesque-Medium" w:cs="Arial"/>
          <w:bCs/>
          <w:color w:val="000000"/>
          <w:sz w:val="16"/>
          <w:szCs w:val="24"/>
          <w:lang w:val="es-ES" w:eastAsia="es-ES"/>
        </w:rPr>
      </w:pPr>
      <w:r w:rsidRPr="00F16917">
        <w:rPr>
          <w:rFonts w:ascii="GalanoGrotesque-Medium" w:eastAsia="Times New Roman" w:hAnsi="GalanoGrotesque-Medium" w:cs="Arial"/>
          <w:b/>
          <w:bCs/>
          <w:color w:val="000000"/>
          <w:sz w:val="16"/>
          <w:szCs w:val="24"/>
          <w:lang w:val="es-ES" w:eastAsia="es-ES"/>
        </w:rPr>
        <w:t>Indicadores de Prevención del Delito.</w:t>
      </w:r>
    </w:p>
    <w:tbl>
      <w:tblPr>
        <w:tblW w:w="5000" w:type="pct"/>
        <w:jc w:val="center"/>
        <w:tblCellMar>
          <w:left w:w="70" w:type="dxa"/>
          <w:right w:w="70" w:type="dxa"/>
        </w:tblCellMar>
        <w:tblLook w:val="04A0" w:firstRow="1" w:lastRow="0" w:firstColumn="1" w:lastColumn="0" w:noHBand="0" w:noVBand="1"/>
      </w:tblPr>
      <w:tblGrid>
        <w:gridCol w:w="2684"/>
        <w:gridCol w:w="932"/>
        <w:gridCol w:w="403"/>
        <w:gridCol w:w="1750"/>
        <w:gridCol w:w="1217"/>
        <w:gridCol w:w="605"/>
        <w:gridCol w:w="585"/>
        <w:gridCol w:w="595"/>
        <w:gridCol w:w="596"/>
        <w:gridCol w:w="595"/>
      </w:tblGrid>
      <w:tr w:rsidR="00F2524A" w:rsidRPr="00F2524A" w14:paraId="3037416A" w14:textId="77777777" w:rsidTr="00F2524A">
        <w:trPr>
          <w:trHeight w:val="255"/>
          <w:jc w:val="center"/>
        </w:trPr>
        <w:tc>
          <w:tcPr>
            <w:tcW w:w="1365"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0E476899" w14:textId="77777777" w:rsidR="00F2524A" w:rsidRPr="00F2524A" w:rsidRDefault="00F2524A" w:rsidP="00F2524A">
            <w:pPr>
              <w:spacing w:after="0" w:line="240" w:lineRule="auto"/>
              <w:jc w:val="center"/>
              <w:rPr>
                <w:rFonts w:ascii="GalanoGrotesque-Medium" w:eastAsia="Times New Roman" w:hAnsi="GalanoGrotesque-Medium" w:cs="Calibri"/>
                <w:b/>
                <w:bCs/>
                <w:color w:val="FFFFFF"/>
                <w:sz w:val="20"/>
                <w:szCs w:val="20"/>
                <w:lang w:eastAsia="es-MX"/>
              </w:rPr>
            </w:pPr>
            <w:r w:rsidRPr="00F2524A">
              <w:rPr>
                <w:rFonts w:ascii="GalanoGrotesque-Medium" w:eastAsia="Times New Roman" w:hAnsi="GalanoGrotesque-Medium" w:cs="Calibri"/>
                <w:b/>
                <w:bCs/>
                <w:color w:val="FFFFFF"/>
                <w:sz w:val="20"/>
                <w:szCs w:val="20"/>
                <w:lang w:eastAsia="es-MX"/>
              </w:rPr>
              <w:t>Indicador</w:t>
            </w:r>
          </w:p>
        </w:tc>
        <w:tc>
          <w:tcPr>
            <w:tcW w:w="432" w:type="pct"/>
            <w:tcBorders>
              <w:top w:val="single" w:sz="4" w:space="0" w:color="auto"/>
              <w:left w:val="nil"/>
              <w:bottom w:val="single" w:sz="4" w:space="0" w:color="auto"/>
              <w:right w:val="single" w:sz="4" w:space="0" w:color="auto"/>
            </w:tcBorders>
            <w:shd w:val="clear" w:color="000000" w:fill="808080"/>
            <w:noWrap/>
            <w:vAlign w:val="center"/>
            <w:hideMark/>
          </w:tcPr>
          <w:p w14:paraId="64846011" w14:textId="77777777" w:rsidR="00F2524A" w:rsidRPr="00F2524A" w:rsidRDefault="00F2524A" w:rsidP="00F2524A">
            <w:pPr>
              <w:spacing w:after="0" w:line="240" w:lineRule="auto"/>
              <w:jc w:val="center"/>
              <w:rPr>
                <w:rFonts w:ascii="GalanoGrotesque-Medium" w:eastAsia="Times New Roman" w:hAnsi="GalanoGrotesque-Medium" w:cs="Calibri"/>
                <w:b/>
                <w:bCs/>
                <w:color w:val="FFFFFF"/>
                <w:sz w:val="20"/>
                <w:szCs w:val="20"/>
                <w:lang w:eastAsia="es-MX"/>
              </w:rPr>
            </w:pPr>
            <w:r w:rsidRPr="00F2524A">
              <w:rPr>
                <w:rFonts w:ascii="GalanoGrotesque-Medium" w:eastAsia="Times New Roman" w:hAnsi="GalanoGrotesque-Medium" w:cs="Calibri"/>
                <w:b/>
                <w:bCs/>
                <w:color w:val="FFFFFF"/>
                <w:sz w:val="20"/>
                <w:szCs w:val="20"/>
                <w:lang w:eastAsia="es-MX"/>
              </w:rPr>
              <w:t>Fuente</w:t>
            </w:r>
          </w:p>
        </w:tc>
        <w:tc>
          <w:tcPr>
            <w:tcW w:w="202" w:type="pct"/>
            <w:tcBorders>
              <w:top w:val="single" w:sz="4" w:space="0" w:color="auto"/>
              <w:left w:val="nil"/>
              <w:bottom w:val="single" w:sz="4" w:space="0" w:color="auto"/>
              <w:right w:val="single" w:sz="4" w:space="0" w:color="auto"/>
            </w:tcBorders>
            <w:shd w:val="clear" w:color="000000" w:fill="808080"/>
            <w:noWrap/>
            <w:vAlign w:val="center"/>
            <w:hideMark/>
          </w:tcPr>
          <w:p w14:paraId="456645A4" w14:textId="77777777" w:rsidR="00F2524A" w:rsidRPr="00F2524A" w:rsidRDefault="00F2524A" w:rsidP="00F2524A">
            <w:pPr>
              <w:spacing w:after="0" w:line="240" w:lineRule="auto"/>
              <w:jc w:val="center"/>
              <w:rPr>
                <w:rFonts w:ascii="GalanoGrotesque-Medium" w:eastAsia="Times New Roman" w:hAnsi="GalanoGrotesque-Medium" w:cs="Calibri"/>
                <w:b/>
                <w:bCs/>
                <w:color w:val="FFFFFF"/>
                <w:sz w:val="20"/>
                <w:szCs w:val="20"/>
                <w:lang w:eastAsia="es-MX"/>
              </w:rPr>
            </w:pPr>
            <w:proofErr w:type="spellStart"/>
            <w:r w:rsidRPr="00F2524A">
              <w:rPr>
                <w:rFonts w:ascii="GalanoGrotesque-Medium" w:eastAsia="Times New Roman" w:hAnsi="GalanoGrotesque-Medium" w:cs="Calibri"/>
                <w:b/>
                <w:bCs/>
                <w:color w:val="FFFFFF"/>
                <w:sz w:val="20"/>
                <w:szCs w:val="20"/>
                <w:lang w:eastAsia="es-MX"/>
              </w:rPr>
              <w:t>Rk</w:t>
            </w:r>
            <w:proofErr w:type="spellEnd"/>
          </w:p>
        </w:tc>
        <w:tc>
          <w:tcPr>
            <w:tcW w:w="834" w:type="pct"/>
            <w:tcBorders>
              <w:top w:val="single" w:sz="4" w:space="0" w:color="auto"/>
              <w:left w:val="nil"/>
              <w:bottom w:val="single" w:sz="4" w:space="0" w:color="auto"/>
              <w:right w:val="single" w:sz="4" w:space="0" w:color="auto"/>
            </w:tcBorders>
            <w:shd w:val="clear" w:color="000000" w:fill="808080"/>
            <w:noWrap/>
            <w:vAlign w:val="center"/>
            <w:hideMark/>
          </w:tcPr>
          <w:p w14:paraId="7F8A79C5" w14:textId="77777777" w:rsidR="00F2524A" w:rsidRPr="00F2524A" w:rsidRDefault="00F2524A" w:rsidP="00F2524A">
            <w:pPr>
              <w:spacing w:after="0" w:line="240" w:lineRule="auto"/>
              <w:jc w:val="center"/>
              <w:rPr>
                <w:rFonts w:ascii="GalanoGrotesque-Medium" w:eastAsia="Times New Roman" w:hAnsi="GalanoGrotesque-Medium" w:cs="Calibri"/>
                <w:b/>
                <w:bCs/>
                <w:color w:val="FFFFFF"/>
                <w:sz w:val="20"/>
                <w:szCs w:val="20"/>
                <w:lang w:eastAsia="es-MX"/>
              </w:rPr>
            </w:pPr>
            <w:r w:rsidRPr="00F2524A">
              <w:rPr>
                <w:rFonts w:ascii="GalanoGrotesque-Medium" w:eastAsia="Times New Roman" w:hAnsi="GalanoGrotesque-Medium" w:cs="Calibri"/>
                <w:b/>
                <w:bCs/>
                <w:color w:val="FFFFFF"/>
                <w:sz w:val="20"/>
                <w:szCs w:val="20"/>
                <w:lang w:eastAsia="es-MX"/>
              </w:rPr>
              <w:t>Media Nacional</w:t>
            </w:r>
          </w:p>
        </w:tc>
        <w:tc>
          <w:tcPr>
            <w:tcW w:w="589" w:type="pct"/>
            <w:tcBorders>
              <w:top w:val="single" w:sz="4" w:space="0" w:color="auto"/>
              <w:left w:val="nil"/>
              <w:bottom w:val="single" w:sz="4" w:space="0" w:color="auto"/>
              <w:right w:val="single" w:sz="4" w:space="0" w:color="auto"/>
            </w:tcBorders>
            <w:shd w:val="clear" w:color="000000" w:fill="808080"/>
            <w:vAlign w:val="center"/>
            <w:hideMark/>
          </w:tcPr>
          <w:p w14:paraId="7E6E688F" w14:textId="77777777" w:rsidR="00F2524A" w:rsidRPr="00F2524A" w:rsidRDefault="00F2524A" w:rsidP="00F2524A">
            <w:pPr>
              <w:spacing w:after="0" w:line="240" w:lineRule="auto"/>
              <w:jc w:val="center"/>
              <w:rPr>
                <w:rFonts w:ascii="GalanoGrotesque-Medium" w:eastAsia="Times New Roman" w:hAnsi="GalanoGrotesque-Medium" w:cs="Calibri"/>
                <w:b/>
                <w:bCs/>
                <w:color w:val="FFFFFF"/>
                <w:sz w:val="20"/>
                <w:szCs w:val="20"/>
                <w:lang w:eastAsia="es-MX"/>
              </w:rPr>
            </w:pPr>
            <w:r w:rsidRPr="00F2524A">
              <w:rPr>
                <w:rFonts w:ascii="GalanoGrotesque-Medium" w:eastAsia="Times New Roman" w:hAnsi="GalanoGrotesque-Medium" w:cs="Calibri"/>
                <w:b/>
                <w:bCs/>
                <w:color w:val="FFFFFF"/>
                <w:sz w:val="20"/>
                <w:szCs w:val="20"/>
                <w:lang w:eastAsia="es-MX"/>
              </w:rPr>
              <w:t>Unidad</w:t>
            </w:r>
          </w:p>
        </w:tc>
        <w:tc>
          <w:tcPr>
            <w:tcW w:w="316" w:type="pct"/>
            <w:tcBorders>
              <w:top w:val="single" w:sz="4" w:space="0" w:color="auto"/>
              <w:left w:val="nil"/>
              <w:bottom w:val="single" w:sz="4" w:space="0" w:color="auto"/>
              <w:right w:val="single" w:sz="4" w:space="0" w:color="auto"/>
            </w:tcBorders>
            <w:shd w:val="clear" w:color="000000" w:fill="808080"/>
            <w:noWrap/>
            <w:vAlign w:val="center"/>
            <w:hideMark/>
          </w:tcPr>
          <w:p w14:paraId="6CAE28A9" w14:textId="77777777" w:rsidR="00F2524A" w:rsidRPr="00F2524A" w:rsidRDefault="00F2524A" w:rsidP="00F2524A">
            <w:pPr>
              <w:spacing w:after="0" w:line="240" w:lineRule="auto"/>
              <w:jc w:val="center"/>
              <w:rPr>
                <w:rFonts w:ascii="GalanoGrotesque-Medium" w:eastAsia="Times New Roman" w:hAnsi="GalanoGrotesque-Medium" w:cs="Calibri"/>
                <w:b/>
                <w:bCs/>
                <w:color w:val="FFFFFF"/>
                <w:sz w:val="20"/>
                <w:szCs w:val="20"/>
                <w:lang w:eastAsia="es-MX"/>
              </w:rPr>
            </w:pPr>
            <w:r w:rsidRPr="00F2524A">
              <w:rPr>
                <w:rFonts w:ascii="GalanoGrotesque-Medium" w:eastAsia="Times New Roman" w:hAnsi="GalanoGrotesque-Medium" w:cs="Calibri"/>
                <w:b/>
                <w:bCs/>
                <w:color w:val="FFFFFF"/>
                <w:sz w:val="20"/>
                <w:szCs w:val="20"/>
                <w:lang w:eastAsia="es-MX"/>
              </w:rPr>
              <w:t>2010</w:t>
            </w:r>
          </w:p>
        </w:tc>
        <w:tc>
          <w:tcPr>
            <w:tcW w:w="316" w:type="pct"/>
            <w:tcBorders>
              <w:top w:val="single" w:sz="4" w:space="0" w:color="auto"/>
              <w:left w:val="nil"/>
              <w:bottom w:val="single" w:sz="4" w:space="0" w:color="auto"/>
              <w:right w:val="single" w:sz="4" w:space="0" w:color="auto"/>
            </w:tcBorders>
            <w:shd w:val="clear" w:color="000000" w:fill="808080"/>
            <w:noWrap/>
            <w:vAlign w:val="center"/>
            <w:hideMark/>
          </w:tcPr>
          <w:p w14:paraId="705ADF31" w14:textId="77777777" w:rsidR="00F2524A" w:rsidRPr="00F2524A" w:rsidRDefault="00F2524A" w:rsidP="00F2524A">
            <w:pPr>
              <w:spacing w:after="0" w:line="240" w:lineRule="auto"/>
              <w:jc w:val="center"/>
              <w:rPr>
                <w:rFonts w:ascii="GalanoGrotesque-Medium" w:eastAsia="Times New Roman" w:hAnsi="GalanoGrotesque-Medium" w:cs="Calibri"/>
                <w:b/>
                <w:bCs/>
                <w:color w:val="FFFFFF"/>
                <w:sz w:val="20"/>
                <w:szCs w:val="20"/>
                <w:lang w:eastAsia="es-MX"/>
              </w:rPr>
            </w:pPr>
            <w:r w:rsidRPr="00F2524A">
              <w:rPr>
                <w:rFonts w:ascii="GalanoGrotesque-Medium" w:eastAsia="Times New Roman" w:hAnsi="GalanoGrotesque-Medium" w:cs="Calibri"/>
                <w:b/>
                <w:bCs/>
                <w:color w:val="FFFFFF"/>
                <w:sz w:val="20"/>
                <w:szCs w:val="20"/>
                <w:lang w:eastAsia="es-MX"/>
              </w:rPr>
              <w:t>2011</w:t>
            </w:r>
          </w:p>
        </w:tc>
        <w:tc>
          <w:tcPr>
            <w:tcW w:w="316" w:type="pct"/>
            <w:tcBorders>
              <w:top w:val="single" w:sz="4" w:space="0" w:color="auto"/>
              <w:left w:val="nil"/>
              <w:bottom w:val="single" w:sz="4" w:space="0" w:color="auto"/>
              <w:right w:val="single" w:sz="4" w:space="0" w:color="auto"/>
            </w:tcBorders>
            <w:shd w:val="clear" w:color="000000" w:fill="808080"/>
            <w:noWrap/>
            <w:vAlign w:val="center"/>
            <w:hideMark/>
          </w:tcPr>
          <w:p w14:paraId="6931481E" w14:textId="77777777" w:rsidR="00F2524A" w:rsidRPr="00F2524A" w:rsidRDefault="00F2524A" w:rsidP="00F2524A">
            <w:pPr>
              <w:spacing w:after="0" w:line="240" w:lineRule="auto"/>
              <w:jc w:val="center"/>
              <w:rPr>
                <w:rFonts w:ascii="GalanoGrotesque-Medium" w:eastAsia="Times New Roman" w:hAnsi="GalanoGrotesque-Medium" w:cs="Calibri"/>
                <w:b/>
                <w:bCs/>
                <w:color w:val="FFFFFF"/>
                <w:sz w:val="20"/>
                <w:szCs w:val="20"/>
                <w:lang w:eastAsia="es-MX"/>
              </w:rPr>
            </w:pPr>
            <w:r w:rsidRPr="00F2524A">
              <w:rPr>
                <w:rFonts w:ascii="GalanoGrotesque-Medium" w:eastAsia="Times New Roman" w:hAnsi="GalanoGrotesque-Medium" w:cs="Calibri"/>
                <w:b/>
                <w:bCs/>
                <w:color w:val="FFFFFF"/>
                <w:sz w:val="20"/>
                <w:szCs w:val="20"/>
                <w:lang w:eastAsia="es-MX"/>
              </w:rPr>
              <w:t>2012</w:t>
            </w:r>
          </w:p>
        </w:tc>
        <w:tc>
          <w:tcPr>
            <w:tcW w:w="316" w:type="pct"/>
            <w:tcBorders>
              <w:top w:val="single" w:sz="4" w:space="0" w:color="auto"/>
              <w:left w:val="nil"/>
              <w:bottom w:val="single" w:sz="4" w:space="0" w:color="auto"/>
              <w:right w:val="single" w:sz="4" w:space="0" w:color="auto"/>
            </w:tcBorders>
            <w:shd w:val="clear" w:color="000000" w:fill="808080"/>
            <w:noWrap/>
            <w:vAlign w:val="center"/>
            <w:hideMark/>
          </w:tcPr>
          <w:p w14:paraId="22A8A7B4" w14:textId="77777777" w:rsidR="00F2524A" w:rsidRPr="00F2524A" w:rsidRDefault="00F2524A" w:rsidP="00F2524A">
            <w:pPr>
              <w:spacing w:after="0" w:line="240" w:lineRule="auto"/>
              <w:jc w:val="center"/>
              <w:rPr>
                <w:rFonts w:ascii="GalanoGrotesque-Medium" w:eastAsia="Times New Roman" w:hAnsi="GalanoGrotesque-Medium" w:cs="Calibri"/>
                <w:b/>
                <w:bCs/>
                <w:color w:val="FFFFFF"/>
                <w:sz w:val="20"/>
                <w:szCs w:val="20"/>
                <w:lang w:eastAsia="es-MX"/>
              </w:rPr>
            </w:pPr>
            <w:r w:rsidRPr="00F2524A">
              <w:rPr>
                <w:rFonts w:ascii="GalanoGrotesque-Medium" w:eastAsia="Times New Roman" w:hAnsi="GalanoGrotesque-Medium" w:cs="Calibri"/>
                <w:b/>
                <w:bCs/>
                <w:color w:val="FFFFFF"/>
                <w:sz w:val="20"/>
                <w:szCs w:val="20"/>
                <w:lang w:eastAsia="es-MX"/>
              </w:rPr>
              <w:t>2013</w:t>
            </w:r>
          </w:p>
        </w:tc>
        <w:tc>
          <w:tcPr>
            <w:tcW w:w="314" w:type="pct"/>
            <w:tcBorders>
              <w:top w:val="single" w:sz="4" w:space="0" w:color="auto"/>
              <w:left w:val="nil"/>
              <w:bottom w:val="single" w:sz="4" w:space="0" w:color="auto"/>
              <w:right w:val="single" w:sz="4" w:space="0" w:color="auto"/>
            </w:tcBorders>
            <w:shd w:val="clear" w:color="000000" w:fill="808080"/>
            <w:noWrap/>
            <w:vAlign w:val="center"/>
            <w:hideMark/>
          </w:tcPr>
          <w:p w14:paraId="3B366115" w14:textId="77777777" w:rsidR="00F2524A" w:rsidRPr="00F2524A" w:rsidRDefault="00F2524A" w:rsidP="00F2524A">
            <w:pPr>
              <w:spacing w:after="0" w:line="240" w:lineRule="auto"/>
              <w:jc w:val="center"/>
              <w:rPr>
                <w:rFonts w:ascii="GalanoGrotesque-Medium" w:eastAsia="Times New Roman" w:hAnsi="GalanoGrotesque-Medium" w:cs="Calibri"/>
                <w:b/>
                <w:bCs/>
                <w:color w:val="FFFFFF"/>
                <w:sz w:val="20"/>
                <w:szCs w:val="20"/>
                <w:lang w:eastAsia="es-MX"/>
              </w:rPr>
            </w:pPr>
            <w:r w:rsidRPr="00F2524A">
              <w:rPr>
                <w:rFonts w:ascii="GalanoGrotesque-Medium" w:eastAsia="Times New Roman" w:hAnsi="GalanoGrotesque-Medium" w:cs="Calibri"/>
                <w:b/>
                <w:bCs/>
                <w:color w:val="FFFFFF"/>
                <w:sz w:val="20"/>
                <w:szCs w:val="20"/>
                <w:lang w:eastAsia="es-MX"/>
              </w:rPr>
              <w:t>2014</w:t>
            </w:r>
          </w:p>
        </w:tc>
      </w:tr>
      <w:tr w:rsidR="00F2524A" w:rsidRPr="00F2524A" w14:paraId="69BB6FB5" w14:textId="77777777" w:rsidTr="00F2524A">
        <w:trPr>
          <w:trHeight w:val="510"/>
          <w:jc w:val="center"/>
        </w:trPr>
        <w:tc>
          <w:tcPr>
            <w:tcW w:w="1365" w:type="pct"/>
            <w:tcBorders>
              <w:top w:val="single" w:sz="4" w:space="0" w:color="auto"/>
              <w:left w:val="single" w:sz="4" w:space="0" w:color="auto"/>
              <w:bottom w:val="single" w:sz="4" w:space="0" w:color="auto"/>
              <w:right w:val="single" w:sz="4" w:space="0" w:color="auto"/>
            </w:tcBorders>
            <w:shd w:val="clear" w:color="000000" w:fill="EDEDED"/>
            <w:hideMark/>
          </w:tcPr>
          <w:p w14:paraId="52D550BB" w14:textId="77777777" w:rsidR="00F2524A" w:rsidRPr="00F2524A" w:rsidRDefault="00F2524A" w:rsidP="00F2524A">
            <w:pPr>
              <w:spacing w:after="0" w:line="240" w:lineRule="auto"/>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Tasa de incidencia delictiva por entidad federativa por cada 100,000 habitantes, según tipo de delito</w:t>
            </w:r>
          </w:p>
        </w:tc>
        <w:tc>
          <w:tcPr>
            <w:tcW w:w="432" w:type="pct"/>
            <w:tcBorders>
              <w:top w:val="single" w:sz="4" w:space="0" w:color="auto"/>
              <w:left w:val="nil"/>
              <w:bottom w:val="single" w:sz="4" w:space="0" w:color="auto"/>
              <w:right w:val="single" w:sz="4" w:space="0" w:color="auto"/>
            </w:tcBorders>
            <w:shd w:val="clear" w:color="000000" w:fill="EDEDED"/>
            <w:noWrap/>
            <w:vAlign w:val="center"/>
            <w:hideMark/>
          </w:tcPr>
          <w:p w14:paraId="5C86EBE0"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SESNSP</w:t>
            </w:r>
          </w:p>
        </w:tc>
        <w:tc>
          <w:tcPr>
            <w:tcW w:w="202" w:type="pct"/>
            <w:tcBorders>
              <w:top w:val="single" w:sz="4" w:space="0" w:color="auto"/>
              <w:left w:val="nil"/>
              <w:bottom w:val="single" w:sz="4" w:space="0" w:color="auto"/>
              <w:right w:val="single" w:sz="4" w:space="0" w:color="auto"/>
            </w:tcBorders>
            <w:shd w:val="clear" w:color="000000" w:fill="EDEDED"/>
            <w:noWrap/>
            <w:vAlign w:val="center"/>
            <w:hideMark/>
          </w:tcPr>
          <w:p w14:paraId="3F13D754"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26</w:t>
            </w:r>
          </w:p>
        </w:tc>
        <w:tc>
          <w:tcPr>
            <w:tcW w:w="834" w:type="pct"/>
            <w:tcBorders>
              <w:top w:val="single" w:sz="4" w:space="0" w:color="auto"/>
              <w:left w:val="nil"/>
              <w:bottom w:val="single" w:sz="4" w:space="0" w:color="auto"/>
              <w:right w:val="single" w:sz="4" w:space="0" w:color="auto"/>
            </w:tcBorders>
            <w:shd w:val="clear" w:color="000000" w:fill="EDEDED"/>
            <w:noWrap/>
            <w:vAlign w:val="center"/>
            <w:hideMark/>
          </w:tcPr>
          <w:p w14:paraId="77387B04"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1,325</w:t>
            </w:r>
          </w:p>
        </w:tc>
        <w:tc>
          <w:tcPr>
            <w:tcW w:w="589" w:type="pct"/>
            <w:tcBorders>
              <w:top w:val="single" w:sz="4" w:space="0" w:color="auto"/>
              <w:left w:val="nil"/>
              <w:bottom w:val="single" w:sz="4" w:space="0" w:color="auto"/>
              <w:right w:val="nil"/>
            </w:tcBorders>
            <w:shd w:val="clear" w:color="000000" w:fill="EDEDED"/>
            <w:vAlign w:val="center"/>
            <w:hideMark/>
          </w:tcPr>
          <w:p w14:paraId="4CD44FEC"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Tasa</w:t>
            </w:r>
          </w:p>
        </w:tc>
        <w:tc>
          <w:tcPr>
            <w:tcW w:w="316" w:type="pct"/>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080AFA2A"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761</w:t>
            </w:r>
          </w:p>
        </w:tc>
        <w:tc>
          <w:tcPr>
            <w:tcW w:w="316" w:type="pct"/>
            <w:tcBorders>
              <w:top w:val="single" w:sz="4" w:space="0" w:color="auto"/>
              <w:left w:val="nil"/>
              <w:bottom w:val="single" w:sz="4" w:space="0" w:color="auto"/>
              <w:right w:val="single" w:sz="4" w:space="0" w:color="auto"/>
            </w:tcBorders>
            <w:shd w:val="clear" w:color="000000" w:fill="EDEDED"/>
            <w:noWrap/>
            <w:vAlign w:val="center"/>
            <w:hideMark/>
          </w:tcPr>
          <w:p w14:paraId="282BC02D"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757</w:t>
            </w:r>
          </w:p>
        </w:tc>
        <w:tc>
          <w:tcPr>
            <w:tcW w:w="316" w:type="pct"/>
            <w:tcBorders>
              <w:top w:val="single" w:sz="4" w:space="0" w:color="auto"/>
              <w:left w:val="nil"/>
              <w:bottom w:val="single" w:sz="4" w:space="0" w:color="auto"/>
              <w:right w:val="single" w:sz="4" w:space="0" w:color="auto"/>
            </w:tcBorders>
            <w:shd w:val="clear" w:color="000000" w:fill="EDEDED"/>
            <w:noWrap/>
            <w:vAlign w:val="center"/>
            <w:hideMark/>
          </w:tcPr>
          <w:p w14:paraId="31784A8D"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738</w:t>
            </w:r>
          </w:p>
        </w:tc>
        <w:tc>
          <w:tcPr>
            <w:tcW w:w="316" w:type="pct"/>
            <w:tcBorders>
              <w:top w:val="single" w:sz="4" w:space="0" w:color="auto"/>
              <w:left w:val="nil"/>
              <w:bottom w:val="single" w:sz="4" w:space="0" w:color="auto"/>
              <w:right w:val="single" w:sz="4" w:space="0" w:color="auto"/>
            </w:tcBorders>
            <w:shd w:val="clear" w:color="000000" w:fill="EDEDED"/>
            <w:noWrap/>
            <w:vAlign w:val="center"/>
            <w:hideMark/>
          </w:tcPr>
          <w:p w14:paraId="6ED0D2A5"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735</w:t>
            </w:r>
          </w:p>
        </w:tc>
        <w:tc>
          <w:tcPr>
            <w:tcW w:w="314" w:type="pct"/>
            <w:tcBorders>
              <w:top w:val="single" w:sz="4" w:space="0" w:color="auto"/>
              <w:left w:val="nil"/>
              <w:bottom w:val="single" w:sz="4" w:space="0" w:color="auto"/>
              <w:right w:val="single" w:sz="4" w:space="0" w:color="auto"/>
            </w:tcBorders>
            <w:shd w:val="clear" w:color="000000" w:fill="EDEDED"/>
            <w:noWrap/>
            <w:vAlign w:val="center"/>
            <w:hideMark/>
          </w:tcPr>
          <w:p w14:paraId="5C2DF276"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775</w:t>
            </w:r>
          </w:p>
        </w:tc>
      </w:tr>
      <w:tr w:rsidR="00F2524A" w:rsidRPr="00F2524A" w14:paraId="563BA165" w14:textId="77777777" w:rsidTr="00F2524A">
        <w:trPr>
          <w:trHeight w:val="255"/>
          <w:jc w:val="center"/>
        </w:trPr>
        <w:tc>
          <w:tcPr>
            <w:tcW w:w="1365" w:type="pct"/>
            <w:tcBorders>
              <w:top w:val="nil"/>
              <w:left w:val="single" w:sz="4" w:space="0" w:color="auto"/>
              <w:bottom w:val="single" w:sz="4" w:space="0" w:color="auto"/>
              <w:right w:val="single" w:sz="4" w:space="0" w:color="auto"/>
            </w:tcBorders>
            <w:shd w:val="clear" w:color="000000" w:fill="C9C9C9"/>
            <w:hideMark/>
          </w:tcPr>
          <w:p w14:paraId="56B96099" w14:textId="77777777" w:rsidR="00F2524A" w:rsidRPr="00F2524A" w:rsidRDefault="00F2524A" w:rsidP="00F2524A">
            <w:pPr>
              <w:spacing w:after="0" w:line="240" w:lineRule="auto"/>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Cifra negra                     (delitos no denunciados)</w:t>
            </w:r>
          </w:p>
        </w:tc>
        <w:tc>
          <w:tcPr>
            <w:tcW w:w="432" w:type="pct"/>
            <w:tcBorders>
              <w:top w:val="nil"/>
              <w:left w:val="nil"/>
              <w:bottom w:val="single" w:sz="4" w:space="0" w:color="auto"/>
              <w:right w:val="single" w:sz="4" w:space="0" w:color="auto"/>
            </w:tcBorders>
            <w:shd w:val="clear" w:color="000000" w:fill="C9C9C9"/>
            <w:noWrap/>
            <w:vAlign w:val="center"/>
            <w:hideMark/>
          </w:tcPr>
          <w:p w14:paraId="20BBB25D"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INEGI</w:t>
            </w:r>
          </w:p>
        </w:tc>
        <w:tc>
          <w:tcPr>
            <w:tcW w:w="202" w:type="pct"/>
            <w:tcBorders>
              <w:top w:val="nil"/>
              <w:left w:val="nil"/>
              <w:bottom w:val="single" w:sz="4" w:space="0" w:color="auto"/>
              <w:right w:val="single" w:sz="4" w:space="0" w:color="auto"/>
            </w:tcBorders>
            <w:shd w:val="clear" w:color="000000" w:fill="C9C9C9"/>
            <w:noWrap/>
            <w:vAlign w:val="center"/>
            <w:hideMark/>
          </w:tcPr>
          <w:p w14:paraId="5BB65906"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16</w:t>
            </w:r>
          </w:p>
        </w:tc>
        <w:tc>
          <w:tcPr>
            <w:tcW w:w="834" w:type="pct"/>
            <w:tcBorders>
              <w:top w:val="nil"/>
              <w:left w:val="nil"/>
              <w:bottom w:val="single" w:sz="4" w:space="0" w:color="auto"/>
              <w:right w:val="nil"/>
            </w:tcBorders>
            <w:shd w:val="clear" w:color="000000" w:fill="C9C9C9"/>
            <w:noWrap/>
            <w:vAlign w:val="center"/>
            <w:hideMark/>
          </w:tcPr>
          <w:p w14:paraId="7D8220B4"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92.0</w:t>
            </w:r>
          </w:p>
        </w:tc>
        <w:tc>
          <w:tcPr>
            <w:tcW w:w="589" w:type="pct"/>
            <w:tcBorders>
              <w:top w:val="nil"/>
              <w:left w:val="single" w:sz="4" w:space="0" w:color="auto"/>
              <w:bottom w:val="single" w:sz="4" w:space="0" w:color="auto"/>
              <w:right w:val="nil"/>
            </w:tcBorders>
            <w:shd w:val="clear" w:color="000000" w:fill="C9C9C9"/>
            <w:vAlign w:val="center"/>
            <w:hideMark/>
          </w:tcPr>
          <w:p w14:paraId="042D9E51"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Porcentaje</w:t>
            </w:r>
          </w:p>
        </w:tc>
        <w:tc>
          <w:tcPr>
            <w:tcW w:w="316" w:type="pct"/>
            <w:tcBorders>
              <w:top w:val="nil"/>
              <w:left w:val="single" w:sz="4" w:space="0" w:color="auto"/>
              <w:bottom w:val="single" w:sz="4" w:space="0" w:color="auto"/>
              <w:right w:val="single" w:sz="4" w:space="0" w:color="auto"/>
            </w:tcBorders>
            <w:shd w:val="clear" w:color="000000" w:fill="C9C9C9"/>
            <w:noWrap/>
            <w:vAlign w:val="center"/>
            <w:hideMark/>
          </w:tcPr>
          <w:p w14:paraId="651F45E4"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94.8</w:t>
            </w:r>
          </w:p>
        </w:tc>
        <w:tc>
          <w:tcPr>
            <w:tcW w:w="316" w:type="pct"/>
            <w:tcBorders>
              <w:top w:val="nil"/>
              <w:left w:val="nil"/>
              <w:bottom w:val="single" w:sz="4" w:space="0" w:color="auto"/>
              <w:right w:val="single" w:sz="4" w:space="0" w:color="auto"/>
            </w:tcBorders>
            <w:shd w:val="clear" w:color="000000" w:fill="C9C9C9"/>
            <w:noWrap/>
            <w:vAlign w:val="center"/>
            <w:hideMark/>
          </w:tcPr>
          <w:p w14:paraId="7BC92C11"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92.1</w:t>
            </w:r>
          </w:p>
        </w:tc>
        <w:tc>
          <w:tcPr>
            <w:tcW w:w="316" w:type="pct"/>
            <w:tcBorders>
              <w:top w:val="nil"/>
              <w:left w:val="nil"/>
              <w:bottom w:val="single" w:sz="4" w:space="0" w:color="auto"/>
              <w:right w:val="nil"/>
            </w:tcBorders>
            <w:shd w:val="clear" w:color="000000" w:fill="C9C9C9"/>
            <w:noWrap/>
            <w:vAlign w:val="center"/>
            <w:hideMark/>
          </w:tcPr>
          <w:p w14:paraId="6FAC8C1F"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94.0</w:t>
            </w:r>
          </w:p>
        </w:tc>
        <w:tc>
          <w:tcPr>
            <w:tcW w:w="316" w:type="pct"/>
            <w:tcBorders>
              <w:top w:val="nil"/>
              <w:left w:val="single" w:sz="4" w:space="0" w:color="auto"/>
              <w:bottom w:val="single" w:sz="4" w:space="0" w:color="auto"/>
              <w:right w:val="nil"/>
            </w:tcBorders>
            <w:shd w:val="clear" w:color="000000" w:fill="C9C9C9"/>
            <w:noWrap/>
            <w:vAlign w:val="center"/>
            <w:hideMark/>
          </w:tcPr>
          <w:p w14:paraId="49887C85"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94.0</w:t>
            </w:r>
          </w:p>
        </w:tc>
        <w:tc>
          <w:tcPr>
            <w:tcW w:w="314" w:type="pct"/>
            <w:tcBorders>
              <w:top w:val="nil"/>
              <w:left w:val="single" w:sz="4" w:space="0" w:color="auto"/>
              <w:bottom w:val="single" w:sz="4" w:space="0" w:color="auto"/>
              <w:right w:val="single" w:sz="4" w:space="0" w:color="auto"/>
            </w:tcBorders>
            <w:shd w:val="clear" w:color="000000" w:fill="C9C9C9"/>
            <w:noWrap/>
            <w:vAlign w:val="center"/>
            <w:hideMark/>
          </w:tcPr>
          <w:p w14:paraId="141DCC84"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90.7</w:t>
            </w:r>
          </w:p>
        </w:tc>
      </w:tr>
      <w:tr w:rsidR="00F2524A" w:rsidRPr="00F2524A" w14:paraId="582703BD" w14:textId="77777777" w:rsidTr="00F2524A">
        <w:trPr>
          <w:trHeight w:val="255"/>
          <w:jc w:val="center"/>
        </w:trPr>
        <w:tc>
          <w:tcPr>
            <w:tcW w:w="1365" w:type="pct"/>
            <w:tcBorders>
              <w:top w:val="nil"/>
              <w:left w:val="single" w:sz="4" w:space="0" w:color="auto"/>
              <w:bottom w:val="single" w:sz="4" w:space="0" w:color="auto"/>
              <w:right w:val="single" w:sz="4" w:space="0" w:color="auto"/>
            </w:tcBorders>
            <w:shd w:val="clear" w:color="000000" w:fill="EDEDED"/>
            <w:vAlign w:val="bottom"/>
            <w:hideMark/>
          </w:tcPr>
          <w:p w14:paraId="48AB776F" w14:textId="77777777" w:rsidR="00F2524A" w:rsidRPr="00F2524A" w:rsidRDefault="00F2524A" w:rsidP="00F2524A">
            <w:pPr>
              <w:spacing w:after="0" w:line="240" w:lineRule="auto"/>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Percepción de la inseguridad en su entidad federativa</w:t>
            </w:r>
          </w:p>
        </w:tc>
        <w:tc>
          <w:tcPr>
            <w:tcW w:w="432" w:type="pct"/>
            <w:tcBorders>
              <w:top w:val="nil"/>
              <w:left w:val="nil"/>
              <w:bottom w:val="single" w:sz="4" w:space="0" w:color="auto"/>
              <w:right w:val="nil"/>
            </w:tcBorders>
            <w:shd w:val="clear" w:color="000000" w:fill="EDEDED"/>
            <w:noWrap/>
            <w:vAlign w:val="center"/>
            <w:hideMark/>
          </w:tcPr>
          <w:p w14:paraId="7511ABB2"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INEGI</w:t>
            </w:r>
          </w:p>
        </w:tc>
        <w:tc>
          <w:tcPr>
            <w:tcW w:w="202" w:type="pct"/>
            <w:tcBorders>
              <w:top w:val="nil"/>
              <w:left w:val="single" w:sz="4" w:space="0" w:color="auto"/>
              <w:bottom w:val="single" w:sz="4" w:space="0" w:color="auto"/>
              <w:right w:val="single" w:sz="4" w:space="0" w:color="auto"/>
            </w:tcBorders>
            <w:shd w:val="clear" w:color="000000" w:fill="EDEDED"/>
            <w:noWrap/>
            <w:vAlign w:val="center"/>
            <w:hideMark/>
          </w:tcPr>
          <w:p w14:paraId="41F4CBB7"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8</w:t>
            </w:r>
          </w:p>
        </w:tc>
        <w:tc>
          <w:tcPr>
            <w:tcW w:w="834" w:type="pct"/>
            <w:tcBorders>
              <w:top w:val="nil"/>
              <w:left w:val="nil"/>
              <w:bottom w:val="single" w:sz="4" w:space="0" w:color="auto"/>
              <w:right w:val="single" w:sz="4" w:space="0" w:color="auto"/>
            </w:tcBorders>
            <w:shd w:val="clear" w:color="000000" w:fill="EDEDED"/>
            <w:noWrap/>
            <w:vAlign w:val="center"/>
            <w:hideMark/>
          </w:tcPr>
          <w:p w14:paraId="673815A7"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67.5</w:t>
            </w:r>
          </w:p>
        </w:tc>
        <w:tc>
          <w:tcPr>
            <w:tcW w:w="589" w:type="pct"/>
            <w:tcBorders>
              <w:top w:val="nil"/>
              <w:left w:val="nil"/>
              <w:bottom w:val="single" w:sz="4" w:space="0" w:color="auto"/>
              <w:right w:val="single" w:sz="4" w:space="0" w:color="auto"/>
            </w:tcBorders>
            <w:shd w:val="clear" w:color="000000" w:fill="EDEDED"/>
            <w:vAlign w:val="center"/>
            <w:hideMark/>
          </w:tcPr>
          <w:p w14:paraId="6DA39044"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Porcentaje</w:t>
            </w:r>
          </w:p>
        </w:tc>
        <w:tc>
          <w:tcPr>
            <w:tcW w:w="316" w:type="pct"/>
            <w:tcBorders>
              <w:top w:val="nil"/>
              <w:left w:val="nil"/>
              <w:bottom w:val="single" w:sz="4" w:space="0" w:color="auto"/>
              <w:right w:val="single" w:sz="4" w:space="0" w:color="auto"/>
            </w:tcBorders>
            <w:shd w:val="clear" w:color="000000" w:fill="EDEDED"/>
            <w:noWrap/>
            <w:vAlign w:val="center"/>
            <w:hideMark/>
          </w:tcPr>
          <w:p w14:paraId="36E2706C"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63.0</w:t>
            </w:r>
          </w:p>
        </w:tc>
        <w:tc>
          <w:tcPr>
            <w:tcW w:w="316" w:type="pct"/>
            <w:tcBorders>
              <w:top w:val="nil"/>
              <w:left w:val="nil"/>
              <w:bottom w:val="single" w:sz="4" w:space="0" w:color="auto"/>
              <w:right w:val="single" w:sz="4" w:space="0" w:color="auto"/>
            </w:tcBorders>
            <w:shd w:val="clear" w:color="000000" w:fill="EDEDED"/>
            <w:noWrap/>
            <w:vAlign w:val="center"/>
            <w:hideMark/>
          </w:tcPr>
          <w:p w14:paraId="27FFB27B"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76.1</w:t>
            </w:r>
          </w:p>
        </w:tc>
        <w:tc>
          <w:tcPr>
            <w:tcW w:w="316" w:type="pct"/>
            <w:tcBorders>
              <w:top w:val="nil"/>
              <w:left w:val="nil"/>
              <w:bottom w:val="single" w:sz="4" w:space="0" w:color="auto"/>
              <w:right w:val="single" w:sz="4" w:space="0" w:color="auto"/>
            </w:tcBorders>
            <w:shd w:val="clear" w:color="000000" w:fill="EDEDED"/>
            <w:noWrap/>
            <w:vAlign w:val="center"/>
            <w:hideMark/>
          </w:tcPr>
          <w:p w14:paraId="176EEAF5"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76.0</w:t>
            </w:r>
          </w:p>
        </w:tc>
        <w:tc>
          <w:tcPr>
            <w:tcW w:w="316" w:type="pct"/>
            <w:tcBorders>
              <w:top w:val="nil"/>
              <w:left w:val="nil"/>
              <w:bottom w:val="single" w:sz="4" w:space="0" w:color="auto"/>
              <w:right w:val="single" w:sz="4" w:space="0" w:color="auto"/>
            </w:tcBorders>
            <w:shd w:val="clear" w:color="000000" w:fill="EDEDED"/>
            <w:noWrap/>
            <w:vAlign w:val="center"/>
            <w:hideMark/>
          </w:tcPr>
          <w:p w14:paraId="15387D6B"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80.3</w:t>
            </w:r>
          </w:p>
        </w:tc>
        <w:tc>
          <w:tcPr>
            <w:tcW w:w="314" w:type="pct"/>
            <w:tcBorders>
              <w:top w:val="nil"/>
              <w:left w:val="nil"/>
              <w:bottom w:val="single" w:sz="4" w:space="0" w:color="auto"/>
              <w:right w:val="single" w:sz="4" w:space="0" w:color="auto"/>
            </w:tcBorders>
            <w:shd w:val="clear" w:color="000000" w:fill="EDEDED"/>
            <w:noWrap/>
            <w:vAlign w:val="center"/>
            <w:hideMark/>
          </w:tcPr>
          <w:p w14:paraId="33301F21"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82.0</w:t>
            </w:r>
          </w:p>
        </w:tc>
      </w:tr>
      <w:tr w:rsidR="00F2524A" w:rsidRPr="00F2524A" w14:paraId="206A5345" w14:textId="77777777" w:rsidTr="00F2524A">
        <w:trPr>
          <w:trHeight w:val="255"/>
          <w:jc w:val="center"/>
        </w:trPr>
        <w:tc>
          <w:tcPr>
            <w:tcW w:w="1365" w:type="pct"/>
            <w:tcBorders>
              <w:top w:val="nil"/>
              <w:left w:val="single" w:sz="4" w:space="0" w:color="auto"/>
              <w:bottom w:val="single" w:sz="4" w:space="0" w:color="auto"/>
              <w:right w:val="single" w:sz="4" w:space="0" w:color="auto"/>
            </w:tcBorders>
            <w:shd w:val="clear" w:color="000000" w:fill="C9C9C9"/>
            <w:hideMark/>
          </w:tcPr>
          <w:p w14:paraId="6BC73FD3" w14:textId="77777777" w:rsidR="00F2524A" w:rsidRPr="00F2524A" w:rsidRDefault="00F2524A" w:rsidP="00F2524A">
            <w:pPr>
              <w:spacing w:after="0" w:line="240" w:lineRule="auto"/>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Percepción de la inseguridad en su localidad o colonia</w:t>
            </w:r>
          </w:p>
        </w:tc>
        <w:tc>
          <w:tcPr>
            <w:tcW w:w="432" w:type="pct"/>
            <w:tcBorders>
              <w:top w:val="nil"/>
              <w:left w:val="nil"/>
              <w:bottom w:val="single" w:sz="4" w:space="0" w:color="auto"/>
              <w:right w:val="single" w:sz="4" w:space="0" w:color="auto"/>
            </w:tcBorders>
            <w:shd w:val="clear" w:color="000000" w:fill="C9C9C9"/>
            <w:noWrap/>
            <w:vAlign w:val="center"/>
            <w:hideMark/>
          </w:tcPr>
          <w:p w14:paraId="55E87D82"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INEGI</w:t>
            </w:r>
          </w:p>
        </w:tc>
        <w:tc>
          <w:tcPr>
            <w:tcW w:w="202" w:type="pct"/>
            <w:tcBorders>
              <w:top w:val="nil"/>
              <w:left w:val="nil"/>
              <w:bottom w:val="single" w:sz="4" w:space="0" w:color="auto"/>
              <w:right w:val="single" w:sz="4" w:space="0" w:color="auto"/>
            </w:tcBorders>
            <w:shd w:val="clear" w:color="000000" w:fill="C9C9C9"/>
            <w:noWrap/>
            <w:vAlign w:val="center"/>
            <w:hideMark/>
          </w:tcPr>
          <w:p w14:paraId="5323C7CE"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25</w:t>
            </w:r>
          </w:p>
        </w:tc>
        <w:tc>
          <w:tcPr>
            <w:tcW w:w="834" w:type="pct"/>
            <w:tcBorders>
              <w:top w:val="nil"/>
              <w:left w:val="nil"/>
              <w:bottom w:val="single" w:sz="4" w:space="0" w:color="auto"/>
              <w:right w:val="nil"/>
            </w:tcBorders>
            <w:shd w:val="clear" w:color="000000" w:fill="C9C9C9"/>
            <w:noWrap/>
            <w:vAlign w:val="center"/>
            <w:hideMark/>
          </w:tcPr>
          <w:p w14:paraId="1EB5130A"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40.6</w:t>
            </w:r>
          </w:p>
        </w:tc>
        <w:tc>
          <w:tcPr>
            <w:tcW w:w="589" w:type="pct"/>
            <w:tcBorders>
              <w:top w:val="nil"/>
              <w:left w:val="single" w:sz="4" w:space="0" w:color="auto"/>
              <w:bottom w:val="single" w:sz="4" w:space="0" w:color="auto"/>
              <w:right w:val="nil"/>
            </w:tcBorders>
            <w:shd w:val="clear" w:color="000000" w:fill="C9C9C9"/>
            <w:vAlign w:val="center"/>
            <w:hideMark/>
          </w:tcPr>
          <w:p w14:paraId="23A81B02"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Porcentaje</w:t>
            </w:r>
          </w:p>
        </w:tc>
        <w:tc>
          <w:tcPr>
            <w:tcW w:w="316" w:type="pct"/>
            <w:tcBorders>
              <w:top w:val="nil"/>
              <w:left w:val="single" w:sz="4" w:space="0" w:color="auto"/>
              <w:bottom w:val="single" w:sz="4" w:space="0" w:color="auto"/>
              <w:right w:val="single" w:sz="4" w:space="0" w:color="auto"/>
            </w:tcBorders>
            <w:shd w:val="clear" w:color="000000" w:fill="C9C9C9"/>
            <w:noWrap/>
            <w:vAlign w:val="center"/>
            <w:hideMark/>
          </w:tcPr>
          <w:p w14:paraId="0320F44C"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w:t>
            </w:r>
          </w:p>
        </w:tc>
        <w:tc>
          <w:tcPr>
            <w:tcW w:w="316" w:type="pct"/>
            <w:tcBorders>
              <w:top w:val="nil"/>
              <w:left w:val="nil"/>
              <w:bottom w:val="single" w:sz="4" w:space="0" w:color="auto"/>
              <w:right w:val="single" w:sz="4" w:space="0" w:color="auto"/>
            </w:tcBorders>
            <w:shd w:val="clear" w:color="000000" w:fill="C9C9C9"/>
            <w:noWrap/>
            <w:vAlign w:val="center"/>
            <w:hideMark/>
          </w:tcPr>
          <w:p w14:paraId="2248AF8C"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31.4</w:t>
            </w:r>
          </w:p>
        </w:tc>
        <w:tc>
          <w:tcPr>
            <w:tcW w:w="316" w:type="pct"/>
            <w:tcBorders>
              <w:top w:val="nil"/>
              <w:left w:val="nil"/>
              <w:bottom w:val="single" w:sz="4" w:space="0" w:color="auto"/>
              <w:right w:val="nil"/>
            </w:tcBorders>
            <w:shd w:val="clear" w:color="000000" w:fill="C9C9C9"/>
            <w:noWrap/>
            <w:vAlign w:val="center"/>
            <w:hideMark/>
          </w:tcPr>
          <w:p w14:paraId="59836095"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33.1</w:t>
            </w:r>
          </w:p>
        </w:tc>
        <w:tc>
          <w:tcPr>
            <w:tcW w:w="316" w:type="pct"/>
            <w:tcBorders>
              <w:top w:val="nil"/>
              <w:left w:val="single" w:sz="4" w:space="0" w:color="auto"/>
              <w:bottom w:val="single" w:sz="4" w:space="0" w:color="auto"/>
              <w:right w:val="nil"/>
            </w:tcBorders>
            <w:shd w:val="clear" w:color="000000" w:fill="C9C9C9"/>
            <w:noWrap/>
            <w:vAlign w:val="center"/>
            <w:hideMark/>
          </w:tcPr>
          <w:p w14:paraId="201D12FE"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35.9</w:t>
            </w:r>
          </w:p>
        </w:tc>
        <w:tc>
          <w:tcPr>
            <w:tcW w:w="314" w:type="pct"/>
            <w:tcBorders>
              <w:top w:val="nil"/>
              <w:left w:val="single" w:sz="4" w:space="0" w:color="auto"/>
              <w:bottom w:val="single" w:sz="4" w:space="0" w:color="auto"/>
              <w:right w:val="single" w:sz="4" w:space="0" w:color="auto"/>
            </w:tcBorders>
            <w:shd w:val="clear" w:color="000000" w:fill="C9C9C9"/>
            <w:noWrap/>
            <w:vAlign w:val="center"/>
            <w:hideMark/>
          </w:tcPr>
          <w:p w14:paraId="166E4C1B"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38.4</w:t>
            </w:r>
          </w:p>
        </w:tc>
      </w:tr>
      <w:tr w:rsidR="00F2524A" w:rsidRPr="00F2524A" w14:paraId="1EFA28FB" w14:textId="77777777" w:rsidTr="00F2524A">
        <w:trPr>
          <w:trHeight w:val="255"/>
          <w:jc w:val="center"/>
        </w:trPr>
        <w:tc>
          <w:tcPr>
            <w:tcW w:w="1365" w:type="pct"/>
            <w:tcBorders>
              <w:top w:val="nil"/>
              <w:left w:val="single" w:sz="4" w:space="0" w:color="auto"/>
              <w:bottom w:val="single" w:sz="4" w:space="0" w:color="auto"/>
              <w:right w:val="single" w:sz="4" w:space="0" w:color="auto"/>
            </w:tcBorders>
            <w:shd w:val="clear" w:color="000000" w:fill="EDEDED"/>
            <w:vAlign w:val="bottom"/>
            <w:hideMark/>
          </w:tcPr>
          <w:p w14:paraId="2A093F08" w14:textId="77777777" w:rsidR="00F2524A" w:rsidRPr="00F2524A" w:rsidRDefault="00F2524A" w:rsidP="00F2524A">
            <w:pPr>
              <w:spacing w:after="0" w:line="240" w:lineRule="auto"/>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Percepción de inseguridad en sitios públicos y privados</w:t>
            </w:r>
          </w:p>
        </w:tc>
        <w:tc>
          <w:tcPr>
            <w:tcW w:w="432" w:type="pct"/>
            <w:tcBorders>
              <w:top w:val="nil"/>
              <w:left w:val="nil"/>
              <w:bottom w:val="single" w:sz="4" w:space="0" w:color="auto"/>
              <w:right w:val="nil"/>
            </w:tcBorders>
            <w:shd w:val="clear" w:color="000000" w:fill="EDEDED"/>
            <w:noWrap/>
            <w:vAlign w:val="center"/>
            <w:hideMark/>
          </w:tcPr>
          <w:p w14:paraId="3FC3DBE4"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INEGI</w:t>
            </w:r>
          </w:p>
        </w:tc>
        <w:tc>
          <w:tcPr>
            <w:tcW w:w="202" w:type="pct"/>
            <w:tcBorders>
              <w:top w:val="nil"/>
              <w:left w:val="single" w:sz="4" w:space="0" w:color="auto"/>
              <w:bottom w:val="single" w:sz="4" w:space="0" w:color="auto"/>
              <w:right w:val="single" w:sz="4" w:space="0" w:color="auto"/>
            </w:tcBorders>
            <w:shd w:val="clear" w:color="000000" w:fill="EDEDED"/>
            <w:noWrap/>
            <w:vAlign w:val="center"/>
            <w:hideMark/>
          </w:tcPr>
          <w:p w14:paraId="57D78654"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16</w:t>
            </w:r>
          </w:p>
        </w:tc>
        <w:tc>
          <w:tcPr>
            <w:tcW w:w="834" w:type="pct"/>
            <w:tcBorders>
              <w:top w:val="nil"/>
              <w:left w:val="nil"/>
              <w:bottom w:val="single" w:sz="4" w:space="0" w:color="auto"/>
              <w:right w:val="single" w:sz="4" w:space="0" w:color="auto"/>
            </w:tcBorders>
            <w:shd w:val="clear" w:color="000000" w:fill="EDEDED"/>
            <w:noWrap/>
            <w:vAlign w:val="center"/>
            <w:hideMark/>
          </w:tcPr>
          <w:p w14:paraId="02492FD1"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51.2</w:t>
            </w:r>
          </w:p>
        </w:tc>
        <w:tc>
          <w:tcPr>
            <w:tcW w:w="589" w:type="pct"/>
            <w:tcBorders>
              <w:top w:val="nil"/>
              <w:left w:val="nil"/>
              <w:bottom w:val="single" w:sz="4" w:space="0" w:color="auto"/>
              <w:right w:val="single" w:sz="4" w:space="0" w:color="auto"/>
            </w:tcBorders>
            <w:shd w:val="clear" w:color="000000" w:fill="EDEDED"/>
            <w:vAlign w:val="center"/>
            <w:hideMark/>
          </w:tcPr>
          <w:p w14:paraId="4CBC1C99"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GalanoGrotesque-Medium" w:eastAsia="Times New Roman" w:hAnsi="GalanoGrotesque-Medium" w:cs="Calibri"/>
                <w:color w:val="000000"/>
                <w:sz w:val="20"/>
                <w:szCs w:val="20"/>
                <w:lang w:eastAsia="es-MX"/>
              </w:rPr>
              <w:t>Porcentaje</w:t>
            </w:r>
          </w:p>
        </w:tc>
        <w:tc>
          <w:tcPr>
            <w:tcW w:w="316" w:type="pct"/>
            <w:tcBorders>
              <w:top w:val="nil"/>
              <w:left w:val="nil"/>
              <w:bottom w:val="single" w:sz="4" w:space="0" w:color="auto"/>
              <w:right w:val="single" w:sz="4" w:space="0" w:color="auto"/>
            </w:tcBorders>
            <w:shd w:val="clear" w:color="000000" w:fill="EDEDED"/>
            <w:noWrap/>
            <w:vAlign w:val="center"/>
            <w:hideMark/>
          </w:tcPr>
          <w:p w14:paraId="67A1F1D9"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Calibri" w:eastAsia="Times New Roman" w:hAnsi="Calibri" w:cs="Calibri"/>
                <w:color w:val="000000"/>
                <w:sz w:val="20"/>
                <w:szCs w:val="20"/>
                <w:lang w:eastAsia="es-MX"/>
              </w:rPr>
              <w:t> </w:t>
            </w:r>
          </w:p>
        </w:tc>
        <w:tc>
          <w:tcPr>
            <w:tcW w:w="316" w:type="pct"/>
            <w:tcBorders>
              <w:top w:val="nil"/>
              <w:left w:val="nil"/>
              <w:bottom w:val="single" w:sz="4" w:space="0" w:color="auto"/>
              <w:right w:val="single" w:sz="4" w:space="0" w:color="auto"/>
            </w:tcBorders>
            <w:shd w:val="clear" w:color="000000" w:fill="EDEDED"/>
            <w:noWrap/>
            <w:vAlign w:val="center"/>
            <w:hideMark/>
          </w:tcPr>
          <w:p w14:paraId="4AC801A0"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Calibri" w:eastAsia="Times New Roman" w:hAnsi="Calibri" w:cs="Calibri"/>
                <w:color w:val="000000"/>
                <w:sz w:val="20"/>
                <w:szCs w:val="20"/>
                <w:lang w:eastAsia="es-MX"/>
              </w:rPr>
              <w:t> </w:t>
            </w:r>
          </w:p>
        </w:tc>
        <w:tc>
          <w:tcPr>
            <w:tcW w:w="316" w:type="pct"/>
            <w:tcBorders>
              <w:top w:val="nil"/>
              <w:left w:val="nil"/>
              <w:bottom w:val="single" w:sz="4" w:space="0" w:color="auto"/>
              <w:right w:val="single" w:sz="4" w:space="0" w:color="auto"/>
            </w:tcBorders>
            <w:shd w:val="clear" w:color="000000" w:fill="EDEDED"/>
            <w:noWrap/>
            <w:vAlign w:val="center"/>
            <w:hideMark/>
          </w:tcPr>
          <w:p w14:paraId="75F33143"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Calibri" w:eastAsia="Times New Roman" w:hAnsi="Calibri" w:cs="Calibri"/>
                <w:color w:val="000000"/>
                <w:sz w:val="20"/>
                <w:szCs w:val="20"/>
                <w:lang w:eastAsia="es-MX"/>
              </w:rPr>
              <w:t> </w:t>
            </w:r>
          </w:p>
        </w:tc>
        <w:tc>
          <w:tcPr>
            <w:tcW w:w="316" w:type="pct"/>
            <w:tcBorders>
              <w:top w:val="nil"/>
              <w:left w:val="nil"/>
              <w:bottom w:val="single" w:sz="4" w:space="0" w:color="auto"/>
              <w:right w:val="single" w:sz="4" w:space="0" w:color="auto"/>
            </w:tcBorders>
            <w:shd w:val="clear" w:color="000000" w:fill="EDEDED"/>
            <w:noWrap/>
            <w:vAlign w:val="center"/>
            <w:hideMark/>
          </w:tcPr>
          <w:p w14:paraId="0DB5C4E3"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Calibri" w:eastAsia="Times New Roman" w:hAnsi="Calibri" w:cs="Calibri"/>
                <w:color w:val="000000"/>
                <w:sz w:val="20"/>
                <w:szCs w:val="20"/>
                <w:lang w:eastAsia="es-MX"/>
              </w:rPr>
              <w:t> </w:t>
            </w:r>
          </w:p>
        </w:tc>
        <w:tc>
          <w:tcPr>
            <w:tcW w:w="314" w:type="pct"/>
            <w:tcBorders>
              <w:top w:val="nil"/>
              <w:left w:val="nil"/>
              <w:bottom w:val="single" w:sz="4" w:space="0" w:color="auto"/>
              <w:right w:val="single" w:sz="4" w:space="0" w:color="auto"/>
            </w:tcBorders>
            <w:shd w:val="clear" w:color="000000" w:fill="EDEDED"/>
            <w:noWrap/>
            <w:vAlign w:val="center"/>
            <w:hideMark/>
          </w:tcPr>
          <w:p w14:paraId="114F0186" w14:textId="77777777" w:rsidR="00F2524A" w:rsidRPr="00F2524A" w:rsidRDefault="00F2524A" w:rsidP="00F2524A">
            <w:pPr>
              <w:spacing w:after="0" w:line="240" w:lineRule="auto"/>
              <w:jc w:val="center"/>
              <w:rPr>
                <w:rFonts w:ascii="GalanoGrotesque-Medium" w:eastAsia="Times New Roman" w:hAnsi="GalanoGrotesque-Medium" w:cs="Calibri"/>
                <w:color w:val="000000"/>
                <w:sz w:val="20"/>
                <w:szCs w:val="20"/>
                <w:lang w:eastAsia="es-MX"/>
              </w:rPr>
            </w:pPr>
            <w:r w:rsidRPr="00F2524A">
              <w:rPr>
                <w:rFonts w:ascii="Calibri" w:eastAsia="Times New Roman" w:hAnsi="Calibri" w:cs="Calibri"/>
                <w:color w:val="000000"/>
                <w:sz w:val="20"/>
                <w:szCs w:val="20"/>
                <w:lang w:eastAsia="es-MX"/>
              </w:rPr>
              <w:t> </w:t>
            </w:r>
          </w:p>
        </w:tc>
      </w:tr>
    </w:tbl>
    <w:p w14:paraId="7E02DA9B" w14:textId="77777777" w:rsidR="00F2524A" w:rsidRPr="00F2524A" w:rsidRDefault="00F2524A" w:rsidP="00F2524A">
      <w:pPr>
        <w:spacing w:after="0"/>
        <w:jc w:val="both"/>
        <w:rPr>
          <w:rFonts w:ascii="GalanoGrotesque-Medium" w:eastAsia="Times New Roman" w:hAnsi="GalanoGrotesque-Medium" w:cs="Arial"/>
          <w:bCs/>
          <w:sz w:val="24"/>
          <w:szCs w:val="24"/>
          <w:lang w:val="es-ES" w:eastAsia="es-ES"/>
        </w:rPr>
      </w:pPr>
    </w:p>
    <w:p w14:paraId="4E8959B4" w14:textId="77777777" w:rsidR="00F2524A" w:rsidRDefault="00F2524A" w:rsidP="00F2524A">
      <w:pPr>
        <w:jc w:val="both"/>
        <w:rPr>
          <w:rFonts w:ascii="GalanoGrotesque-Medium" w:hAnsi="GalanoGrotesque-Medium" w:cs="Arial"/>
          <w:bCs/>
        </w:rPr>
        <w:sectPr w:rsidR="00F2524A" w:rsidSect="00F16917">
          <w:footnotePr>
            <w:numStart w:val="4"/>
          </w:footnotePr>
          <w:type w:val="continuous"/>
          <w:pgSz w:w="12240" w:h="15840"/>
          <w:pgMar w:top="1418" w:right="1134" w:bottom="1418" w:left="1134" w:header="709" w:footer="709" w:gutter="0"/>
          <w:cols w:space="567"/>
          <w:docGrid w:linePitch="360"/>
        </w:sectPr>
      </w:pPr>
    </w:p>
    <w:p w14:paraId="06432FBA" w14:textId="77777777" w:rsidR="00F2524A" w:rsidRDefault="00F2524A" w:rsidP="00F16917">
      <w:pPr>
        <w:spacing w:after="160" w:line="240" w:lineRule="auto"/>
        <w:jc w:val="both"/>
        <w:rPr>
          <w:rFonts w:ascii="MyriadPro-Regular" w:hAnsi="MyriadPro-Regular" w:cs="MyriadPro-Regular"/>
          <w:color w:val="414142"/>
          <w:sz w:val="20"/>
          <w:szCs w:val="20"/>
        </w:rPr>
      </w:pPr>
      <w:r w:rsidRPr="00A00313">
        <w:rPr>
          <w:rFonts w:ascii="MyriadPro-Regular" w:hAnsi="MyriadPro-Regular" w:cs="MyriadPro-Regular"/>
          <w:color w:val="414142"/>
          <w:sz w:val="20"/>
          <w:szCs w:val="20"/>
        </w:rPr>
        <w:lastRenderedPageBreak/>
        <w:t xml:space="preserve">Durante los últimos cinco años, en Michoacán ocho de cada diez ciudadanos percibieron como inseguro al Estado. Sin embargo, para 2015 la percepción de inseguridad de los michoacanos con respecto a su entidad, su localidad e incluso los sitios públicos, fue un poco menor al año anterior (78.9%). </w:t>
      </w:r>
    </w:p>
    <w:p w14:paraId="5A8AA42C" w14:textId="77777777" w:rsidR="00F2524A" w:rsidRPr="00F16917" w:rsidRDefault="00F2524A" w:rsidP="00F16917">
      <w:pPr>
        <w:spacing w:after="0" w:line="160" w:lineRule="exact"/>
        <w:jc w:val="center"/>
        <w:rPr>
          <w:rFonts w:ascii="GalanoGrotesque-Medium" w:eastAsia="Times New Roman" w:hAnsi="GalanoGrotesque-Medium" w:cs="Arial"/>
          <w:b/>
          <w:bCs/>
          <w:sz w:val="16"/>
          <w:szCs w:val="24"/>
          <w:lang w:val="es-ES" w:eastAsia="es-ES"/>
        </w:rPr>
      </w:pPr>
      <w:r w:rsidRPr="00F16917">
        <w:rPr>
          <w:rFonts w:ascii="GalanoGrotesque-Medium" w:eastAsia="Times New Roman" w:hAnsi="GalanoGrotesque-Medium" w:cs="Arial"/>
          <w:b/>
          <w:bCs/>
          <w:sz w:val="16"/>
          <w:szCs w:val="24"/>
          <w:lang w:val="es-ES" w:eastAsia="es-ES"/>
        </w:rPr>
        <w:t>Gráfica 3.1</w:t>
      </w:r>
    </w:p>
    <w:p w14:paraId="13C90F44" w14:textId="77777777" w:rsidR="00F2524A" w:rsidRPr="00F16917" w:rsidRDefault="00F2524A" w:rsidP="00F16917">
      <w:pPr>
        <w:spacing w:after="0" w:line="160" w:lineRule="exact"/>
        <w:jc w:val="center"/>
        <w:rPr>
          <w:rFonts w:ascii="GalanoGrotesque-Medium" w:eastAsia="Times New Roman" w:hAnsi="GalanoGrotesque-Medium" w:cs="Arial"/>
          <w:b/>
          <w:bCs/>
          <w:sz w:val="16"/>
          <w:szCs w:val="24"/>
          <w:lang w:val="es-ES" w:eastAsia="es-ES"/>
        </w:rPr>
      </w:pPr>
      <w:r w:rsidRPr="00F16917">
        <w:rPr>
          <w:rFonts w:ascii="GalanoGrotesque-Medium" w:eastAsia="Times New Roman" w:hAnsi="GalanoGrotesque-Medium" w:cs="Arial"/>
          <w:b/>
          <w:bCs/>
          <w:sz w:val="16"/>
          <w:szCs w:val="24"/>
          <w:lang w:val="es-ES" w:eastAsia="es-ES"/>
        </w:rPr>
        <w:t>Percepción de la inseguridad en Michoacán</w:t>
      </w:r>
    </w:p>
    <w:p w14:paraId="235B7108" w14:textId="77777777" w:rsidR="00F2524A" w:rsidRPr="00F2524A" w:rsidRDefault="00F2524A" w:rsidP="00F2524A">
      <w:pPr>
        <w:spacing w:after="0"/>
        <w:jc w:val="center"/>
        <w:rPr>
          <w:rFonts w:ascii="GalanoGrotesque-Medium" w:eastAsia="Times New Roman" w:hAnsi="GalanoGrotesque-Medium" w:cs="Arial"/>
          <w:bCs/>
          <w:sz w:val="24"/>
          <w:szCs w:val="24"/>
          <w:lang w:val="es-ES" w:eastAsia="es-ES"/>
        </w:rPr>
      </w:pPr>
      <w:r w:rsidRPr="00F2524A">
        <w:rPr>
          <w:rFonts w:ascii="GalanoGrotesque-Medium" w:eastAsia="Times New Roman" w:hAnsi="GalanoGrotesque-Medium" w:cs="Times New Roman"/>
          <w:noProof/>
          <w:sz w:val="24"/>
          <w:szCs w:val="24"/>
          <w:lang w:val="es-ES" w:eastAsia="es-ES"/>
        </w:rPr>
        <w:drawing>
          <wp:inline distT="0" distB="0" distL="0" distR="0" wp14:anchorId="0E20A9AF" wp14:editId="161A483D">
            <wp:extent cx="3125972" cy="2250291"/>
            <wp:effectExtent l="0" t="0" r="0" b="0"/>
            <wp:docPr id="43021" name="Imagen 4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76814" cy="2286891"/>
                    </a:xfrm>
                    <a:prstGeom prst="rect">
                      <a:avLst/>
                    </a:prstGeom>
                    <a:noFill/>
                    <a:ln>
                      <a:noFill/>
                    </a:ln>
                  </pic:spPr>
                </pic:pic>
              </a:graphicData>
            </a:graphic>
          </wp:inline>
        </w:drawing>
      </w:r>
    </w:p>
    <w:p w14:paraId="060C04C5" w14:textId="77777777" w:rsidR="00F16917" w:rsidRDefault="00F16917" w:rsidP="00F16917">
      <w:pPr>
        <w:spacing w:after="0" w:line="180" w:lineRule="exact"/>
        <w:ind w:right="-62"/>
        <w:rPr>
          <w:rFonts w:ascii="GalanoGrotesque-Regular" w:eastAsia="Times New Roman" w:hAnsi="GalanoGrotesque-Regular" w:cs="Arial"/>
          <w:bCs/>
          <w:color w:val="000000"/>
          <w:sz w:val="16"/>
          <w:szCs w:val="20"/>
          <w:lang w:val="es-ES" w:eastAsia="es-ES"/>
        </w:rPr>
      </w:pPr>
    </w:p>
    <w:p w14:paraId="161FAA46" w14:textId="77777777" w:rsidR="00F2524A" w:rsidRPr="00F16917" w:rsidRDefault="00F2524A" w:rsidP="00F16917">
      <w:pPr>
        <w:spacing w:after="0" w:line="180" w:lineRule="exact"/>
        <w:ind w:right="-62"/>
        <w:rPr>
          <w:rFonts w:ascii="GalanoGrotesque-Regular" w:eastAsia="Times New Roman" w:hAnsi="GalanoGrotesque-Regular" w:cs="Arial"/>
          <w:bCs/>
          <w:color w:val="000000"/>
          <w:sz w:val="16"/>
          <w:szCs w:val="20"/>
          <w:lang w:val="es-ES" w:eastAsia="es-ES"/>
        </w:rPr>
      </w:pPr>
      <w:r w:rsidRPr="00F16917">
        <w:rPr>
          <w:rFonts w:ascii="GalanoGrotesque-Regular" w:eastAsia="Times New Roman" w:hAnsi="GalanoGrotesque-Regular" w:cs="Arial"/>
          <w:bCs/>
          <w:color w:val="000000"/>
          <w:sz w:val="16"/>
          <w:szCs w:val="20"/>
          <w:lang w:val="es-ES" w:eastAsia="es-ES"/>
        </w:rPr>
        <w:t>Fuente: Elaboración del INEGI, Encuesta Nacional sobre Victimización y Percepción de la Seguridad Pública.</w:t>
      </w:r>
    </w:p>
    <w:p w14:paraId="57D3F574" w14:textId="77777777" w:rsidR="00E96714" w:rsidRDefault="00E96714" w:rsidP="00F2524A">
      <w:pPr>
        <w:spacing w:after="0"/>
        <w:ind w:right="-64"/>
        <w:rPr>
          <w:rFonts w:ascii="GalanoGrotesque-Regular" w:eastAsia="Times New Roman" w:hAnsi="GalanoGrotesque-Regular" w:cs="Arial"/>
          <w:bCs/>
          <w:color w:val="000000"/>
          <w:sz w:val="20"/>
          <w:szCs w:val="20"/>
          <w:lang w:val="es-ES" w:eastAsia="es-ES"/>
        </w:rPr>
      </w:pPr>
    </w:p>
    <w:p w14:paraId="797C3B8E" w14:textId="77777777" w:rsidR="00203DDE" w:rsidRDefault="00E96714" w:rsidP="00203DDE">
      <w:pPr>
        <w:spacing w:afterLines="100" w:after="24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La localidad o colonia fue el espacio mejor calificado en cuanto a percepción de inseguridad en los últimos cuatro años. Menos de cuatro de cada diez habitantes consideraron no segura a su colonia. Esto a su vez ubicó en 2015 a Michoacán  dentro de los diez mejor calificados en este rubro. </w:t>
      </w:r>
    </w:p>
    <w:p w14:paraId="2E059D50" w14:textId="77777777" w:rsidR="00203DDE" w:rsidRPr="002C72FB" w:rsidRDefault="00203DDE" w:rsidP="00203DDE">
      <w:pPr>
        <w:spacing w:afterLines="100" w:after="24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Es importante señalar la alta correlación existente entre la efectividad de las políticas públicas encaminadas a la prevención del delito y los indicadores de otras prioridades,</w:t>
      </w:r>
      <w:r w:rsidRPr="00E96714">
        <w:rPr>
          <w:rFonts w:ascii="GalanoGrotesque-Medium" w:eastAsia="Times New Roman" w:hAnsi="GalanoGrotesque-Medium" w:cs="Arial"/>
          <w:sz w:val="24"/>
          <w:szCs w:val="24"/>
          <w:lang w:val="es-ES" w:eastAsia="es-ES"/>
        </w:rPr>
        <w:t xml:space="preserve"> </w:t>
      </w:r>
      <w:r w:rsidRPr="002C72FB">
        <w:rPr>
          <w:rFonts w:ascii="MyriadPro-Regular" w:hAnsi="MyriadPro-Regular" w:cs="MyriadPro-Regular"/>
          <w:color w:val="414142"/>
          <w:sz w:val="20"/>
          <w:szCs w:val="20"/>
        </w:rPr>
        <w:t xml:space="preserve">especialmente en la de Tranquilidad, Justicia y Paz. </w:t>
      </w:r>
    </w:p>
    <w:p w14:paraId="2870E11A" w14:textId="77777777" w:rsidR="00E96714" w:rsidRPr="00F16917" w:rsidRDefault="00F16917" w:rsidP="002143B6">
      <w:pPr>
        <w:spacing w:after="0" w:line="240" w:lineRule="auto"/>
        <w:jc w:val="center"/>
        <w:rPr>
          <w:rFonts w:ascii="GalanoGrotesque-Medium" w:eastAsia="Times New Roman" w:hAnsi="GalanoGrotesque-Medium" w:cs="Arial"/>
          <w:b/>
          <w:sz w:val="16"/>
          <w:szCs w:val="24"/>
          <w:lang w:val="es-ES" w:eastAsia="es-ES"/>
        </w:rPr>
      </w:pPr>
      <w:r>
        <w:rPr>
          <w:rFonts w:ascii="MyriadPro-Regular" w:hAnsi="MyriadPro-Regular" w:cs="MyriadPro-Regular"/>
          <w:color w:val="414142"/>
          <w:sz w:val="20"/>
          <w:szCs w:val="20"/>
        </w:rPr>
        <w:br w:type="column"/>
      </w:r>
      <w:r w:rsidR="00E96714" w:rsidRPr="00F16917">
        <w:rPr>
          <w:rFonts w:ascii="GalanoGrotesque-Medium" w:eastAsia="Times New Roman" w:hAnsi="GalanoGrotesque-Medium" w:cs="Arial"/>
          <w:b/>
          <w:sz w:val="16"/>
          <w:szCs w:val="24"/>
          <w:lang w:val="es-ES" w:eastAsia="es-ES"/>
        </w:rPr>
        <w:lastRenderedPageBreak/>
        <w:t>Gráfica 3.2</w:t>
      </w:r>
    </w:p>
    <w:p w14:paraId="0D787086" w14:textId="77777777" w:rsidR="00E96714" w:rsidRPr="00F16917" w:rsidRDefault="00E96714" w:rsidP="00F16917">
      <w:pPr>
        <w:widowControl w:val="0"/>
        <w:autoSpaceDE w:val="0"/>
        <w:autoSpaceDN w:val="0"/>
        <w:adjustRightInd w:val="0"/>
        <w:spacing w:after="160" w:line="180" w:lineRule="exact"/>
        <w:jc w:val="center"/>
        <w:rPr>
          <w:rFonts w:ascii="GalanoGrotesque-Medium" w:eastAsia="Times New Roman" w:hAnsi="GalanoGrotesque-Medium" w:cs="Arial"/>
          <w:b/>
          <w:sz w:val="16"/>
          <w:szCs w:val="24"/>
          <w:lang w:val="es-ES" w:eastAsia="es-ES"/>
        </w:rPr>
      </w:pPr>
      <w:r w:rsidRPr="00F16917">
        <w:rPr>
          <w:rFonts w:ascii="GalanoGrotesque-Medium" w:eastAsia="Times New Roman" w:hAnsi="GalanoGrotesque-Medium" w:cs="Arial"/>
          <w:b/>
          <w:bCs/>
          <w:sz w:val="16"/>
          <w:szCs w:val="24"/>
          <w:lang w:eastAsia="es-ES"/>
        </w:rPr>
        <w:t>Percepción de la inseguridad en su localidad o colonia, 2015</w:t>
      </w:r>
    </w:p>
    <w:p w14:paraId="6081827E" w14:textId="77777777" w:rsidR="00E96714" w:rsidRPr="00E96714" w:rsidRDefault="00E96714" w:rsidP="00E96714">
      <w:pPr>
        <w:spacing w:after="0"/>
        <w:jc w:val="center"/>
        <w:rPr>
          <w:rFonts w:ascii="GalanoGrotesque-Medium" w:eastAsia="Times New Roman" w:hAnsi="GalanoGrotesque-Medium" w:cs="Arial"/>
          <w:bCs/>
          <w:sz w:val="24"/>
          <w:szCs w:val="24"/>
          <w:lang w:val="es-ES" w:eastAsia="es-ES"/>
        </w:rPr>
      </w:pPr>
      <w:r w:rsidRPr="00E96714">
        <w:rPr>
          <w:rFonts w:ascii="GalanoGrotesque-Medium" w:eastAsia="Times New Roman" w:hAnsi="GalanoGrotesque-Medium" w:cs="Times New Roman"/>
          <w:noProof/>
          <w:sz w:val="24"/>
          <w:szCs w:val="24"/>
          <w:lang w:val="es-ES" w:eastAsia="es-ES"/>
        </w:rPr>
        <w:drawing>
          <wp:inline distT="0" distB="0" distL="0" distR="0" wp14:anchorId="0951FF57" wp14:editId="29BD6268">
            <wp:extent cx="2966484" cy="2604977"/>
            <wp:effectExtent l="0" t="0" r="5715" b="5080"/>
            <wp:docPr id="43023" name="Gráfico 43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378165B" w14:textId="77777777" w:rsidR="00E96714" w:rsidRPr="00203DDE" w:rsidRDefault="00E96714" w:rsidP="002143B6">
      <w:pPr>
        <w:spacing w:after="160"/>
        <w:rPr>
          <w:rFonts w:ascii="GalanoGrotesque-Regular" w:eastAsia="Times New Roman" w:hAnsi="GalanoGrotesque-Regular" w:cs="Arial"/>
          <w:bCs/>
          <w:color w:val="000000"/>
          <w:sz w:val="16"/>
          <w:szCs w:val="20"/>
          <w:lang w:val="es-ES" w:eastAsia="es-ES"/>
        </w:rPr>
      </w:pPr>
      <w:r w:rsidRPr="00203DDE">
        <w:rPr>
          <w:rFonts w:ascii="GalanoGrotesque-Regular" w:eastAsia="Times New Roman" w:hAnsi="GalanoGrotesque-Regular" w:cs="Arial"/>
          <w:bCs/>
          <w:color w:val="000000"/>
          <w:sz w:val="16"/>
          <w:szCs w:val="20"/>
          <w:lang w:val="es-ES" w:eastAsia="es-ES"/>
        </w:rPr>
        <w:t>Fuente: Elaboración del INEGI.</w:t>
      </w:r>
    </w:p>
    <w:p w14:paraId="10FE8132" w14:textId="77777777" w:rsidR="00E96714" w:rsidRPr="002C72FB" w:rsidRDefault="00E96714" w:rsidP="00203DDE">
      <w:pPr>
        <w:spacing w:afterLines="100" w:after="24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Por otra parte, la Cifra Negra</w:t>
      </w:r>
      <w:r w:rsidRPr="002143B6">
        <w:rPr>
          <w:rFonts w:ascii="MyriadPro-Regular" w:hAnsi="MyriadPro-Regular" w:cs="MyriadPro-Regular"/>
          <w:color w:val="414142"/>
          <w:sz w:val="20"/>
          <w:szCs w:val="20"/>
          <w:vertAlign w:val="superscript"/>
        </w:rPr>
        <w:footnoteReference w:id="3"/>
      </w:r>
      <w:r w:rsidRPr="002C72FB">
        <w:rPr>
          <w:rFonts w:ascii="MyriadPro-Regular" w:hAnsi="MyriadPro-Regular" w:cs="MyriadPro-Regular"/>
          <w:color w:val="414142"/>
          <w:sz w:val="20"/>
          <w:szCs w:val="20"/>
        </w:rPr>
        <w:t>, indica que en Michoacán se denuncian menos del 10% de los delitos, de los cuales en el 58% se dio inicio a una averiguación previa en el Ministerio Público, lo cual quiere decir que se persigue una cifra muy baja de los delitos.</w:t>
      </w:r>
    </w:p>
    <w:p w14:paraId="0EAF105E" w14:textId="77777777" w:rsidR="00E96714" w:rsidRPr="00203DDE" w:rsidRDefault="00E96714" w:rsidP="00203DDE">
      <w:pPr>
        <w:spacing w:after="0" w:line="180" w:lineRule="exact"/>
        <w:jc w:val="center"/>
        <w:rPr>
          <w:rFonts w:ascii="GalanoGrotesque-Medium" w:eastAsia="Times New Roman" w:hAnsi="GalanoGrotesque-Medium" w:cs="Arial"/>
          <w:b/>
          <w:sz w:val="16"/>
          <w:szCs w:val="24"/>
          <w:lang w:val="es-ES" w:eastAsia="es-ES"/>
        </w:rPr>
      </w:pPr>
      <w:r w:rsidRPr="00203DDE">
        <w:rPr>
          <w:rFonts w:ascii="GalanoGrotesque-Medium" w:eastAsia="Times New Roman" w:hAnsi="GalanoGrotesque-Medium" w:cs="Arial"/>
          <w:b/>
          <w:sz w:val="16"/>
          <w:szCs w:val="24"/>
          <w:lang w:val="es-ES" w:eastAsia="es-ES"/>
        </w:rPr>
        <w:t>Gráfica 3.3</w:t>
      </w:r>
    </w:p>
    <w:p w14:paraId="6D139846" w14:textId="77777777" w:rsidR="00E96714" w:rsidRPr="00203DDE" w:rsidRDefault="00E96714" w:rsidP="00203DDE">
      <w:pPr>
        <w:spacing w:after="0" w:line="180" w:lineRule="exact"/>
        <w:jc w:val="center"/>
        <w:rPr>
          <w:rFonts w:ascii="GalanoGrotesque-Medium" w:eastAsia="Times New Roman" w:hAnsi="GalanoGrotesque-Medium" w:cs="Arial"/>
          <w:bCs/>
          <w:color w:val="000000"/>
          <w:sz w:val="16"/>
          <w:szCs w:val="24"/>
          <w:lang w:val="es-ES" w:eastAsia="es-ES"/>
        </w:rPr>
      </w:pPr>
      <w:r w:rsidRPr="00203DDE">
        <w:rPr>
          <w:rFonts w:ascii="GalanoGrotesque-Medium" w:eastAsia="Times New Roman" w:hAnsi="GalanoGrotesque-Medium" w:cs="Arial"/>
          <w:b/>
          <w:sz w:val="16"/>
          <w:szCs w:val="24"/>
          <w:lang w:val="es-ES" w:eastAsia="es-ES"/>
        </w:rPr>
        <w:t>Cifra Negra en Michoacán</w:t>
      </w:r>
    </w:p>
    <w:p w14:paraId="23C5A320" w14:textId="77777777" w:rsidR="00E96714" w:rsidRPr="00E96714" w:rsidRDefault="00E96714" w:rsidP="00E96714">
      <w:pPr>
        <w:spacing w:after="240"/>
        <w:jc w:val="center"/>
        <w:rPr>
          <w:rFonts w:ascii="GalanoGrotesque-Medium" w:eastAsia="Times New Roman" w:hAnsi="GalanoGrotesque-Medium" w:cs="Arial"/>
          <w:bCs/>
          <w:color w:val="000000"/>
          <w:sz w:val="24"/>
          <w:szCs w:val="24"/>
          <w:lang w:val="es-ES" w:eastAsia="es-ES"/>
        </w:rPr>
      </w:pPr>
      <w:r w:rsidRPr="00E96714">
        <w:rPr>
          <w:rFonts w:ascii="GalanoGrotesque-Medium" w:eastAsia="Times New Roman" w:hAnsi="GalanoGrotesque-Medium" w:cs="Times New Roman"/>
          <w:noProof/>
          <w:sz w:val="24"/>
          <w:szCs w:val="24"/>
          <w:lang w:val="es-ES" w:eastAsia="es-ES"/>
        </w:rPr>
        <w:drawing>
          <wp:inline distT="0" distB="0" distL="0" distR="0" wp14:anchorId="6174F34A" wp14:editId="5EA650F9">
            <wp:extent cx="3114675" cy="2045335"/>
            <wp:effectExtent l="0" t="0" r="9525" b="12065"/>
            <wp:docPr id="43024" name="Gráfico 43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00FD977" w14:textId="77777777" w:rsidR="00E96714" w:rsidRPr="00203DDE" w:rsidRDefault="00E96714" w:rsidP="00203DDE">
      <w:pPr>
        <w:spacing w:after="0" w:line="180" w:lineRule="exact"/>
        <w:rPr>
          <w:rFonts w:ascii="GalanoGrotesque-Regular" w:eastAsia="Times New Roman" w:hAnsi="GalanoGrotesque-Regular" w:cs="Arial"/>
          <w:sz w:val="16"/>
          <w:szCs w:val="20"/>
          <w:lang w:val="es-ES" w:eastAsia="es-ES"/>
        </w:rPr>
      </w:pPr>
      <w:r w:rsidRPr="00203DDE">
        <w:rPr>
          <w:rFonts w:ascii="GalanoGrotesque-Regular" w:eastAsia="Times New Roman" w:hAnsi="GalanoGrotesque-Regular" w:cs="Arial"/>
          <w:sz w:val="16"/>
          <w:szCs w:val="20"/>
          <w:lang w:val="es-ES" w:eastAsia="es-ES"/>
        </w:rPr>
        <w:t>Fuente: Secretariado Ejecutivo del Sistema Nacional de Seguridad Pública.</w:t>
      </w:r>
    </w:p>
    <w:p w14:paraId="2B169814" w14:textId="77777777" w:rsidR="00203DDE" w:rsidRDefault="00203DDE">
      <w:pPr>
        <w:rPr>
          <w:rFonts w:ascii="GalanoGrotesque-Medium" w:eastAsia="Times New Roman" w:hAnsi="GalanoGrotesque-Medium" w:cs="Arial"/>
          <w:b/>
          <w:sz w:val="24"/>
          <w:szCs w:val="24"/>
          <w:lang w:val="es-ES" w:eastAsia="es-ES"/>
        </w:rPr>
      </w:pPr>
      <w:r>
        <w:rPr>
          <w:rFonts w:ascii="GalanoGrotesque-Medium" w:eastAsia="Times New Roman" w:hAnsi="GalanoGrotesque-Medium" w:cs="Arial"/>
          <w:b/>
          <w:sz w:val="24"/>
          <w:szCs w:val="24"/>
          <w:lang w:val="es-ES" w:eastAsia="es-ES"/>
        </w:rPr>
        <w:br w:type="page"/>
      </w:r>
    </w:p>
    <w:p w14:paraId="1CD4F5D5" w14:textId="77777777" w:rsidR="00E96714" w:rsidRPr="00203DDE" w:rsidRDefault="00E96714" w:rsidP="00203DDE">
      <w:pPr>
        <w:spacing w:after="0" w:line="180" w:lineRule="exact"/>
        <w:jc w:val="center"/>
        <w:rPr>
          <w:rFonts w:ascii="GalanoGrotesque-Medium" w:eastAsia="Times New Roman" w:hAnsi="GalanoGrotesque-Medium" w:cs="Arial"/>
          <w:b/>
          <w:sz w:val="16"/>
          <w:szCs w:val="24"/>
          <w:lang w:val="es-ES" w:eastAsia="es-ES"/>
        </w:rPr>
      </w:pPr>
      <w:r w:rsidRPr="00203DDE">
        <w:rPr>
          <w:rFonts w:ascii="GalanoGrotesque-Medium" w:eastAsia="Times New Roman" w:hAnsi="GalanoGrotesque-Medium" w:cs="Arial"/>
          <w:b/>
          <w:sz w:val="16"/>
          <w:szCs w:val="24"/>
          <w:lang w:val="es-ES" w:eastAsia="es-ES"/>
        </w:rPr>
        <w:lastRenderedPageBreak/>
        <w:t>Gráfica 3.4</w:t>
      </w:r>
    </w:p>
    <w:p w14:paraId="30E7B98E" w14:textId="77777777" w:rsidR="00E96714" w:rsidRPr="00203DDE" w:rsidRDefault="00E96714" w:rsidP="00203DDE">
      <w:pPr>
        <w:spacing w:after="160" w:line="180" w:lineRule="exact"/>
        <w:jc w:val="center"/>
        <w:rPr>
          <w:rFonts w:ascii="GalanoGrotesque-Medium" w:eastAsia="Times New Roman" w:hAnsi="GalanoGrotesque-Medium" w:cs="Arial"/>
          <w:b/>
          <w:sz w:val="16"/>
          <w:szCs w:val="24"/>
          <w:lang w:val="es-ES" w:eastAsia="es-ES"/>
        </w:rPr>
      </w:pPr>
      <w:r w:rsidRPr="00203DDE">
        <w:rPr>
          <w:rFonts w:ascii="GalanoGrotesque-Medium" w:eastAsia="Times New Roman" w:hAnsi="GalanoGrotesque-Medium" w:cs="Arial"/>
          <w:b/>
          <w:sz w:val="16"/>
          <w:szCs w:val="24"/>
          <w:lang w:val="es-ES" w:eastAsia="es-ES"/>
        </w:rPr>
        <w:t>Indicadores seleccionados de la ENVIPE 2014</w:t>
      </w:r>
    </w:p>
    <w:p w14:paraId="44C659DF" w14:textId="77777777" w:rsidR="00E96714" w:rsidRPr="00E96714" w:rsidRDefault="00E96714" w:rsidP="00E96714">
      <w:pPr>
        <w:spacing w:after="0" w:line="240" w:lineRule="auto"/>
        <w:jc w:val="center"/>
        <w:rPr>
          <w:rFonts w:ascii="GalanoGrotesque-Medium" w:eastAsia="Times New Roman" w:hAnsi="GalanoGrotesque-Medium" w:cs="Arial"/>
          <w:b/>
          <w:sz w:val="24"/>
          <w:szCs w:val="24"/>
          <w:lang w:val="es-ES" w:eastAsia="es-ES"/>
        </w:rPr>
      </w:pPr>
      <w:r w:rsidRPr="00E96714">
        <w:rPr>
          <w:rFonts w:ascii="GalanoGrotesque-Medium" w:eastAsia="Times New Roman" w:hAnsi="GalanoGrotesque-Medium" w:cs="Times New Roman"/>
          <w:noProof/>
          <w:sz w:val="24"/>
          <w:szCs w:val="24"/>
          <w:lang w:val="es-ES" w:eastAsia="es-ES"/>
        </w:rPr>
        <w:drawing>
          <wp:inline distT="0" distB="0" distL="0" distR="0" wp14:anchorId="2D7D3A4C" wp14:editId="38324748">
            <wp:extent cx="3133725" cy="2145225"/>
            <wp:effectExtent l="0" t="0" r="0" b="7620"/>
            <wp:docPr id="43026" name="Imagen 43026" descr="Tabla Indicad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a Indicadores"/>
                    <pic:cNvPicPr>
                      <a:picLocks noChangeAspect="1" noChangeArrowheads="1"/>
                    </pic:cNvPicPr>
                  </pic:nvPicPr>
                  <pic:blipFill rotWithShape="1">
                    <a:blip r:embed="rId42" cstate="print"/>
                    <a:srcRect t="9327" b="3193"/>
                    <a:stretch/>
                  </pic:blipFill>
                  <pic:spPr bwMode="auto">
                    <a:xfrm>
                      <a:off x="0" y="0"/>
                      <a:ext cx="3153623" cy="2158846"/>
                    </a:xfrm>
                    <a:prstGeom prst="rect">
                      <a:avLst/>
                    </a:prstGeom>
                    <a:noFill/>
                    <a:ln>
                      <a:noFill/>
                    </a:ln>
                    <a:extLst>
                      <a:ext uri="{53640926-AAD7-44D8-BBD7-CCE9431645EC}">
                        <a14:shadowObscured xmlns:a14="http://schemas.microsoft.com/office/drawing/2010/main"/>
                      </a:ext>
                    </a:extLst>
                  </pic:spPr>
                </pic:pic>
              </a:graphicData>
            </a:graphic>
          </wp:inline>
        </w:drawing>
      </w:r>
    </w:p>
    <w:p w14:paraId="08729F53" w14:textId="77777777" w:rsidR="00E96714" w:rsidRPr="00203DDE" w:rsidRDefault="00E96714" w:rsidP="00203DDE">
      <w:pPr>
        <w:spacing w:after="0" w:line="180" w:lineRule="exact"/>
        <w:rPr>
          <w:rFonts w:ascii="GalanoGrotesque-Regular" w:eastAsia="Times New Roman" w:hAnsi="GalanoGrotesque-Regular" w:cs="Arial"/>
          <w:sz w:val="16"/>
          <w:szCs w:val="20"/>
          <w:lang w:val="es-ES" w:eastAsia="es-ES"/>
        </w:rPr>
      </w:pPr>
      <w:r w:rsidRPr="00203DDE">
        <w:rPr>
          <w:rFonts w:ascii="GalanoGrotesque-Regular" w:eastAsia="Times New Roman" w:hAnsi="GalanoGrotesque-Regular" w:cs="Arial"/>
          <w:sz w:val="16"/>
          <w:szCs w:val="20"/>
          <w:lang w:val="es-ES" w:eastAsia="es-ES"/>
        </w:rPr>
        <w:t>* Este dato proviene de los registros administrativos publicados por el INEGI.</w:t>
      </w:r>
    </w:p>
    <w:p w14:paraId="3056E86D" w14:textId="77777777" w:rsidR="00E96714" w:rsidRDefault="00E96714" w:rsidP="00203DDE">
      <w:pPr>
        <w:spacing w:after="160" w:line="180" w:lineRule="exact"/>
        <w:rPr>
          <w:rFonts w:ascii="GalanoGrotesque-Regular" w:eastAsia="Times New Roman" w:hAnsi="GalanoGrotesque-Regular" w:cs="Arial"/>
          <w:sz w:val="20"/>
          <w:szCs w:val="20"/>
          <w:lang w:val="es-ES" w:eastAsia="es-ES"/>
        </w:rPr>
      </w:pPr>
      <w:r w:rsidRPr="00203DDE">
        <w:rPr>
          <w:rFonts w:ascii="GalanoGrotesque-Regular" w:eastAsia="Times New Roman" w:hAnsi="GalanoGrotesque-Regular" w:cs="Arial"/>
          <w:sz w:val="16"/>
          <w:szCs w:val="20"/>
          <w:lang w:val="es-ES" w:eastAsia="es-ES"/>
        </w:rPr>
        <w:t>Fuente: Elaboración del INEGI, ENVIPE 2014</w:t>
      </w:r>
      <w:r w:rsidRPr="00E96714">
        <w:rPr>
          <w:rFonts w:ascii="GalanoGrotesque-Regular" w:eastAsia="Times New Roman" w:hAnsi="GalanoGrotesque-Regular" w:cs="Arial"/>
          <w:sz w:val="20"/>
          <w:szCs w:val="20"/>
          <w:lang w:val="es-ES" w:eastAsia="es-ES"/>
        </w:rPr>
        <w:t>.</w:t>
      </w:r>
    </w:p>
    <w:p w14:paraId="111F7D0F" w14:textId="77777777" w:rsidR="00E96714" w:rsidRPr="002C72FB" w:rsidRDefault="00E96714" w:rsidP="00203DDE">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Durante el último trimestre de 2015 y el primer semestre de 2016, la firma de convenios con municipios para la implementación del Mando Único ha inhibido la comisión de delitos del fuero común. La instrumentación de programas de seguridad social y procuración de justicia, además de las acciones de profesionalización de los cuerpos de seguridad policial, han coadyuvado a la tranquilidad y paz del Estado.</w:t>
      </w:r>
    </w:p>
    <w:p w14:paraId="000D6BAA" w14:textId="77777777" w:rsidR="00E96714" w:rsidRPr="00203DDE" w:rsidRDefault="00E96714" w:rsidP="00C30517">
      <w:pPr>
        <w:pStyle w:val="Prrafodelista"/>
        <w:numPr>
          <w:ilvl w:val="0"/>
          <w:numId w:val="20"/>
        </w:numPr>
        <w:spacing w:after="160"/>
        <w:ind w:left="425" w:hanging="425"/>
        <w:jc w:val="both"/>
        <w:rPr>
          <w:rFonts w:ascii="GalanoGrotesque-Medium" w:hAnsi="GalanoGrotesque-Medium" w:cs="Arial"/>
          <w:b/>
        </w:rPr>
      </w:pPr>
      <w:r w:rsidRPr="00203DDE">
        <w:rPr>
          <w:rFonts w:ascii="GalanoGrotesque-Medium" w:hAnsi="GalanoGrotesque-Medium" w:cs="Arial"/>
          <w:b/>
        </w:rPr>
        <w:t>Hacia dónde vamos</w:t>
      </w:r>
    </w:p>
    <w:p w14:paraId="1DE8099D" w14:textId="77777777" w:rsidR="00E96714" w:rsidRPr="002C72FB" w:rsidRDefault="00E96714" w:rsidP="00203DDE">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Para esta Administración será prioritario tomar acciones concertadas e integrales para prevenir los delitos e incentivar a la ciudadanía a organizarse en forma pacífica, generando un ambiente de empoderamiento y solidaridad. </w:t>
      </w:r>
    </w:p>
    <w:p w14:paraId="69C58FFF" w14:textId="77777777" w:rsidR="00E96714" w:rsidRPr="002C72FB" w:rsidRDefault="00E96714" w:rsidP="00203DDE">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Las estrategias recogidas en los foros para prevenir el delito sugieren enfocarse en niños y jóvenes, ofreciéndoles espacios de cultura y deporte e inculcándoles valores cívicos y sociales, como la tolerancia, el respeto y la identidad.</w:t>
      </w:r>
    </w:p>
    <w:p w14:paraId="5B320772" w14:textId="77777777" w:rsidR="00E96714" w:rsidRPr="002C72FB" w:rsidRDefault="00E96714" w:rsidP="00203DDE">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La violencia en todas sus manifestaciones será intolerable y se trabajará con especial atención a grupos vulnerables, como son la niñez, los adultos mayores, las mujeres y las personas con discapacidad, entre otros.</w:t>
      </w:r>
    </w:p>
    <w:p w14:paraId="29548A24" w14:textId="77777777" w:rsidR="00E96714" w:rsidRPr="002C72FB" w:rsidRDefault="00E96714" w:rsidP="00203DDE">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Mejorar los indicadores de percepción requiere de políticas públicas certeras donde en conjunto, gobierno y sociedad, formen un frente común en torno al cual los programas, las acciones de educación, deporte, cultura y políticas asistenciales, </w:t>
      </w:r>
      <w:r w:rsidRPr="002C72FB">
        <w:rPr>
          <w:rFonts w:ascii="MyriadPro-Regular" w:hAnsi="MyriadPro-Regular" w:cs="MyriadPro-Regular"/>
          <w:color w:val="414142"/>
          <w:sz w:val="20"/>
          <w:szCs w:val="20"/>
        </w:rPr>
        <w:lastRenderedPageBreak/>
        <w:t>se promuevan en familia y en vinculación con la comunidad para la recuperación de espacios de convivencia.</w:t>
      </w:r>
    </w:p>
    <w:p w14:paraId="2B4445DF" w14:textId="77777777" w:rsidR="00E96714" w:rsidRPr="002C72FB" w:rsidRDefault="00E96714" w:rsidP="00203DDE">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Además, se deberá fortalecer el sistema estatal de educación artística y cultural, así como capacitar y formar promotores culturales e instructores deportivos para dar cobertura estatal, en especial en zonas de alto índice delictivo.</w:t>
      </w:r>
    </w:p>
    <w:p w14:paraId="753937BA" w14:textId="77777777" w:rsidR="00E96714" w:rsidRPr="002C72FB" w:rsidRDefault="00E96714" w:rsidP="00203DDE">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A través de un programa binacional cultural México-Estados Unidos, se dará fomento a la participación cívica con las comunidades de origen de los michoacanos migrantes para preservar su identidad, sentido de pertenencia, respeto,  valoración y orgullo por la cultura mexicana. </w:t>
      </w:r>
    </w:p>
    <w:p w14:paraId="2F1BD1DC" w14:textId="77777777" w:rsidR="00E96714" w:rsidRPr="002C72FB" w:rsidRDefault="00E96714" w:rsidP="00203DDE">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Para lograr lo anterior se plantean los objetivos y estrategias que se muestran en la Tabla 3.2. </w:t>
      </w:r>
    </w:p>
    <w:p w14:paraId="594E9EFD" w14:textId="77777777" w:rsidR="00E96714" w:rsidRPr="00F2524A" w:rsidRDefault="00E96714" w:rsidP="00F2524A">
      <w:pPr>
        <w:spacing w:after="0"/>
        <w:ind w:right="-64"/>
        <w:rPr>
          <w:rFonts w:ascii="GalanoGrotesque-Regular" w:eastAsia="Times New Roman" w:hAnsi="GalanoGrotesque-Regular" w:cs="Arial"/>
          <w:bCs/>
          <w:sz w:val="20"/>
          <w:szCs w:val="20"/>
          <w:lang w:val="es-ES" w:eastAsia="es-ES"/>
        </w:rPr>
      </w:pPr>
    </w:p>
    <w:p w14:paraId="38364759" w14:textId="77777777" w:rsidR="00203DDE" w:rsidRDefault="00203DDE" w:rsidP="00203DDE">
      <w:pPr>
        <w:rPr>
          <w:rFonts w:ascii="GalanoGrotesque-Medium" w:hAnsi="GalanoGrotesque-Medium" w:cs="Arial"/>
          <w:b/>
        </w:rPr>
        <w:sectPr w:rsidR="00203DDE" w:rsidSect="00203DDE">
          <w:footnotePr>
            <w:numStart w:val="4"/>
          </w:footnotePr>
          <w:type w:val="continuous"/>
          <w:pgSz w:w="12240" w:h="15840"/>
          <w:pgMar w:top="1418" w:right="1134" w:bottom="1418" w:left="1134" w:header="709" w:footer="709" w:gutter="0"/>
          <w:cols w:num="2" w:space="567"/>
          <w:docGrid w:linePitch="360"/>
        </w:sectPr>
      </w:pPr>
    </w:p>
    <w:p w14:paraId="155BE957" w14:textId="77777777" w:rsidR="00E96714" w:rsidRPr="00D63823" w:rsidRDefault="00E96714" w:rsidP="00203DDE">
      <w:pPr>
        <w:spacing w:after="0" w:line="180" w:lineRule="exact"/>
        <w:jc w:val="center"/>
        <w:rPr>
          <w:rFonts w:ascii="MyriadPro-Regular" w:eastAsia="Times New Roman" w:hAnsi="MyriadPro-Regular" w:cs="Arial"/>
          <w:b/>
          <w:sz w:val="20"/>
          <w:szCs w:val="20"/>
          <w:lang w:eastAsia="es-MX"/>
        </w:rPr>
      </w:pPr>
      <w:r w:rsidRPr="00D63823">
        <w:rPr>
          <w:rFonts w:ascii="MyriadPro-Regular" w:eastAsia="Times New Roman" w:hAnsi="MyriadPro-Regular" w:cs="Arial"/>
          <w:b/>
          <w:sz w:val="20"/>
          <w:szCs w:val="20"/>
          <w:lang w:eastAsia="es-MX"/>
        </w:rPr>
        <w:lastRenderedPageBreak/>
        <w:t>Tabla 3.2</w:t>
      </w:r>
    </w:p>
    <w:p w14:paraId="02137771" w14:textId="77777777" w:rsidR="00E96714" w:rsidRPr="00D63823" w:rsidRDefault="00E96714" w:rsidP="00203DDE">
      <w:pPr>
        <w:spacing w:after="160" w:line="180" w:lineRule="exact"/>
        <w:jc w:val="center"/>
        <w:rPr>
          <w:rFonts w:ascii="MyriadPro-Regular" w:eastAsia="Times New Roman" w:hAnsi="MyriadPro-Regular" w:cs="Arial"/>
          <w:b/>
          <w:sz w:val="20"/>
          <w:szCs w:val="20"/>
          <w:lang w:eastAsia="es-MX"/>
        </w:rPr>
      </w:pPr>
      <w:r w:rsidRPr="00D63823">
        <w:rPr>
          <w:rFonts w:ascii="MyriadPro-Regular" w:eastAsia="Times New Roman" w:hAnsi="MyriadPro-Regular" w:cs="Arial"/>
          <w:b/>
          <w:sz w:val="20"/>
          <w:szCs w:val="20"/>
          <w:lang w:eastAsia="es-MX"/>
        </w:rPr>
        <w:t>Objetivos, Líneas Estratégicas y Acciones</w:t>
      </w:r>
    </w:p>
    <w:tbl>
      <w:tblPr>
        <w:tblStyle w:val="Tablaconcuadrcula"/>
        <w:tblW w:w="9072" w:type="dxa"/>
        <w:jc w:val="center"/>
        <w:tblLook w:val="04A0" w:firstRow="1" w:lastRow="0" w:firstColumn="1" w:lastColumn="0" w:noHBand="0" w:noVBand="1"/>
      </w:tblPr>
      <w:tblGrid>
        <w:gridCol w:w="9072"/>
      </w:tblGrid>
      <w:tr w:rsidR="00E96714" w:rsidRPr="00D63823" w14:paraId="2184F335" w14:textId="77777777" w:rsidTr="00E96714">
        <w:trPr>
          <w:jc w:val="center"/>
        </w:trPr>
        <w:tc>
          <w:tcPr>
            <w:tcW w:w="9072" w:type="dxa"/>
            <w:shd w:val="clear" w:color="auto" w:fill="0070C0"/>
          </w:tcPr>
          <w:p w14:paraId="3FD9CC71" w14:textId="77777777" w:rsidR="00E96714" w:rsidRPr="00D63823" w:rsidRDefault="00E96714" w:rsidP="00E47EF3">
            <w:pPr>
              <w:jc w:val="both"/>
              <w:rPr>
                <w:rFonts w:ascii="MyriadPro-Regular" w:hAnsi="MyriadPro-Regular" w:cs="Arial"/>
              </w:rPr>
            </w:pPr>
            <w:r w:rsidRPr="00D63823">
              <w:rPr>
                <w:rFonts w:ascii="MyriadPro-Regular" w:hAnsi="MyriadPro-Regular" w:cs="Arial"/>
              </w:rPr>
              <w:t>Prioridad 3: Prevención del delito.</w:t>
            </w:r>
          </w:p>
        </w:tc>
      </w:tr>
      <w:tr w:rsidR="00E96714" w:rsidRPr="00D63823" w14:paraId="4840114E" w14:textId="77777777" w:rsidTr="00E96714">
        <w:trPr>
          <w:jc w:val="center"/>
        </w:trPr>
        <w:tc>
          <w:tcPr>
            <w:tcW w:w="9072" w:type="dxa"/>
            <w:shd w:val="clear" w:color="auto" w:fill="0070C0"/>
          </w:tcPr>
          <w:p w14:paraId="0472EECE" w14:textId="77777777" w:rsidR="00E96714" w:rsidRPr="00D63823" w:rsidRDefault="00E96714" w:rsidP="00E47EF3">
            <w:pPr>
              <w:jc w:val="both"/>
              <w:rPr>
                <w:rFonts w:ascii="MyriadPro-Regular" w:hAnsi="MyriadPro-Regular" w:cs="Arial"/>
              </w:rPr>
            </w:pPr>
            <w:r w:rsidRPr="00D63823">
              <w:rPr>
                <w:rFonts w:ascii="MyriadPro-Regular" w:hAnsi="MyriadPro-Regular" w:cs="Arial"/>
              </w:rPr>
              <w:t>Objetivo</w:t>
            </w:r>
          </w:p>
        </w:tc>
      </w:tr>
      <w:tr w:rsidR="00E96714" w:rsidRPr="00D63823" w14:paraId="4AEFC691" w14:textId="77777777" w:rsidTr="00E96714">
        <w:trPr>
          <w:jc w:val="center"/>
        </w:trPr>
        <w:tc>
          <w:tcPr>
            <w:tcW w:w="9072" w:type="dxa"/>
            <w:shd w:val="clear" w:color="auto" w:fill="auto"/>
          </w:tcPr>
          <w:p w14:paraId="5CE4A737" w14:textId="77777777" w:rsidR="00E96714" w:rsidRPr="00D63823" w:rsidRDefault="00E96714" w:rsidP="00E47EF3">
            <w:pPr>
              <w:ind w:left="346" w:hanging="346"/>
              <w:rPr>
                <w:rFonts w:ascii="MyriadPro-Regular" w:hAnsi="MyriadPro-Regular" w:cs="Arial"/>
              </w:rPr>
            </w:pPr>
            <w:r w:rsidRPr="00D63823">
              <w:rPr>
                <w:rFonts w:ascii="MyriadPro-Regular" w:hAnsi="MyriadPro-Regular" w:cs="Arial"/>
              </w:rPr>
              <w:t xml:space="preserve">3.1 Involucrar a la comunidad a través de la participación ciudadana para promover el bienestar social. </w:t>
            </w:r>
          </w:p>
        </w:tc>
      </w:tr>
      <w:tr w:rsidR="00E96714" w:rsidRPr="00D63823" w14:paraId="2D583C4B" w14:textId="77777777" w:rsidTr="00E96714">
        <w:trPr>
          <w:jc w:val="center"/>
        </w:trPr>
        <w:tc>
          <w:tcPr>
            <w:tcW w:w="9072" w:type="dxa"/>
            <w:shd w:val="clear" w:color="auto" w:fill="0070C0"/>
          </w:tcPr>
          <w:p w14:paraId="6BA17D7E" w14:textId="77777777" w:rsidR="00E96714" w:rsidRPr="00D63823" w:rsidRDefault="00E96714" w:rsidP="00E47EF3">
            <w:pPr>
              <w:rPr>
                <w:rFonts w:ascii="MyriadPro-Regular" w:hAnsi="MyriadPro-Regular" w:cs="Arial"/>
              </w:rPr>
            </w:pPr>
            <w:r w:rsidRPr="00D63823">
              <w:rPr>
                <w:rFonts w:ascii="MyriadPro-Regular" w:hAnsi="MyriadPro-Regular" w:cs="Arial"/>
              </w:rPr>
              <w:t xml:space="preserve">Línea estratégica </w:t>
            </w:r>
          </w:p>
        </w:tc>
      </w:tr>
      <w:tr w:rsidR="00E96714" w:rsidRPr="00D63823" w14:paraId="0421CA78" w14:textId="77777777" w:rsidTr="00E96714">
        <w:trPr>
          <w:jc w:val="center"/>
        </w:trPr>
        <w:tc>
          <w:tcPr>
            <w:tcW w:w="9072" w:type="dxa"/>
            <w:shd w:val="clear" w:color="auto" w:fill="auto"/>
          </w:tcPr>
          <w:p w14:paraId="2D0DC3EB" w14:textId="77777777" w:rsidR="00E96714" w:rsidRPr="00D63823" w:rsidRDefault="00E96714" w:rsidP="00E47EF3">
            <w:pPr>
              <w:ind w:left="487"/>
              <w:rPr>
                <w:rFonts w:ascii="MyriadPro-Regular" w:hAnsi="MyriadPro-Regular" w:cs="Arial"/>
              </w:rPr>
            </w:pPr>
            <w:r w:rsidRPr="00D63823">
              <w:rPr>
                <w:rFonts w:ascii="MyriadPro-Regular" w:hAnsi="MyriadPro-Regular" w:cs="Arial"/>
              </w:rPr>
              <w:t>3.1.1 Proximidad y participación ciudadana.</w:t>
            </w:r>
          </w:p>
        </w:tc>
      </w:tr>
      <w:tr w:rsidR="00E96714" w:rsidRPr="00D63823" w14:paraId="67FB86AD" w14:textId="77777777" w:rsidTr="00E96714">
        <w:trPr>
          <w:jc w:val="center"/>
        </w:trPr>
        <w:tc>
          <w:tcPr>
            <w:tcW w:w="9072" w:type="dxa"/>
            <w:shd w:val="clear" w:color="auto" w:fill="0070C0"/>
          </w:tcPr>
          <w:p w14:paraId="1F6104A2" w14:textId="77777777" w:rsidR="00E96714" w:rsidRPr="00D63823" w:rsidRDefault="00E96714" w:rsidP="00E47EF3">
            <w:pPr>
              <w:rPr>
                <w:rFonts w:ascii="MyriadPro-Regular" w:hAnsi="MyriadPro-Regular" w:cs="Arial"/>
              </w:rPr>
            </w:pPr>
            <w:r w:rsidRPr="00D63823">
              <w:rPr>
                <w:rFonts w:ascii="MyriadPro-Regular" w:hAnsi="MyriadPro-Regular" w:cs="Arial"/>
              </w:rPr>
              <w:t>Acciones</w:t>
            </w:r>
          </w:p>
        </w:tc>
      </w:tr>
      <w:tr w:rsidR="00E96714" w:rsidRPr="00D63823" w14:paraId="0EC29F4C" w14:textId="77777777" w:rsidTr="00E96714">
        <w:trPr>
          <w:jc w:val="center"/>
        </w:trPr>
        <w:tc>
          <w:tcPr>
            <w:tcW w:w="9072" w:type="dxa"/>
            <w:shd w:val="clear" w:color="auto" w:fill="auto"/>
          </w:tcPr>
          <w:p w14:paraId="376A9428"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3.1.1.1 Implementar un modelo de seguridad ciudadana a través de la proximidad y participación ciudadana.</w:t>
            </w:r>
          </w:p>
        </w:tc>
      </w:tr>
      <w:tr w:rsidR="00E96714" w:rsidRPr="00D63823" w14:paraId="6CAE9832" w14:textId="77777777" w:rsidTr="00E96714">
        <w:trPr>
          <w:jc w:val="center"/>
        </w:trPr>
        <w:tc>
          <w:tcPr>
            <w:tcW w:w="9072" w:type="dxa"/>
            <w:shd w:val="clear" w:color="auto" w:fill="auto"/>
          </w:tcPr>
          <w:p w14:paraId="5B65D523"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3.1.1.2 Informar e involucrar a la sociedad en programas de prevención de la violencia y delincuencia para promover la paz con la concurrencia interinstitucional y la participación ciudadana.</w:t>
            </w:r>
          </w:p>
        </w:tc>
      </w:tr>
      <w:tr w:rsidR="00E96714" w:rsidRPr="00D63823" w14:paraId="200100B9" w14:textId="77777777" w:rsidTr="00E96714">
        <w:trPr>
          <w:jc w:val="center"/>
        </w:trPr>
        <w:tc>
          <w:tcPr>
            <w:tcW w:w="9072" w:type="dxa"/>
            <w:shd w:val="clear" w:color="auto" w:fill="auto"/>
          </w:tcPr>
          <w:p w14:paraId="0111B95E"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3.1.1.3 Promover la participación informada de las comunidades con el fin de prevenir acciones criminales.</w:t>
            </w:r>
          </w:p>
        </w:tc>
      </w:tr>
      <w:tr w:rsidR="00E96714" w:rsidRPr="00D63823" w14:paraId="5BAC38F0" w14:textId="77777777" w:rsidTr="00E96714">
        <w:trPr>
          <w:jc w:val="center"/>
        </w:trPr>
        <w:tc>
          <w:tcPr>
            <w:tcW w:w="9072" w:type="dxa"/>
            <w:shd w:val="clear" w:color="auto" w:fill="auto"/>
          </w:tcPr>
          <w:p w14:paraId="61858E2D"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3.1.1.4 Diseñar métodos de seguimiento y evaluación a programas de prevención del delito.</w:t>
            </w:r>
          </w:p>
        </w:tc>
      </w:tr>
      <w:tr w:rsidR="00E96714" w:rsidRPr="00D63823" w14:paraId="24680BCF" w14:textId="77777777" w:rsidTr="00E96714">
        <w:trPr>
          <w:jc w:val="center"/>
        </w:trPr>
        <w:tc>
          <w:tcPr>
            <w:tcW w:w="9072" w:type="dxa"/>
            <w:shd w:val="clear" w:color="auto" w:fill="auto"/>
          </w:tcPr>
          <w:p w14:paraId="79113696"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 xml:space="preserve">3.1.1.5 Hacer uso de actividades artísticas para informar e involucrar a la sociedad en los temas de prevención del delito. </w:t>
            </w:r>
          </w:p>
        </w:tc>
      </w:tr>
      <w:tr w:rsidR="00E96714" w:rsidRPr="00D63823" w14:paraId="154D1550" w14:textId="77777777" w:rsidTr="00E96714">
        <w:trPr>
          <w:jc w:val="center"/>
        </w:trPr>
        <w:tc>
          <w:tcPr>
            <w:tcW w:w="9072" w:type="dxa"/>
            <w:shd w:val="clear" w:color="auto" w:fill="auto"/>
          </w:tcPr>
          <w:p w14:paraId="4699CCA8"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3.1.1.6 Reactivar el Observatorio Ciudadano para la Prevención del Delito y Fomento a la Cultura de Legalidad.</w:t>
            </w:r>
          </w:p>
        </w:tc>
      </w:tr>
      <w:tr w:rsidR="00E96714" w:rsidRPr="00D63823" w14:paraId="69BBB2C0" w14:textId="77777777" w:rsidTr="00E96714">
        <w:trPr>
          <w:jc w:val="center"/>
        </w:trPr>
        <w:tc>
          <w:tcPr>
            <w:tcW w:w="9072" w:type="dxa"/>
            <w:shd w:val="clear" w:color="auto" w:fill="0070C0"/>
          </w:tcPr>
          <w:p w14:paraId="49374E17" w14:textId="77777777" w:rsidR="00E96714" w:rsidRPr="00D63823" w:rsidRDefault="00E96714" w:rsidP="00E47EF3">
            <w:pPr>
              <w:rPr>
                <w:rFonts w:ascii="MyriadPro-Regular" w:hAnsi="MyriadPro-Regular" w:cs="Arial"/>
              </w:rPr>
            </w:pPr>
            <w:r w:rsidRPr="00D63823">
              <w:rPr>
                <w:rFonts w:ascii="MyriadPro-Regular" w:hAnsi="MyriadPro-Regular" w:cs="Arial"/>
              </w:rPr>
              <w:t>Línea estratégica</w:t>
            </w:r>
          </w:p>
        </w:tc>
      </w:tr>
      <w:tr w:rsidR="00E96714" w:rsidRPr="00D63823" w14:paraId="10FD39F9" w14:textId="77777777" w:rsidTr="00E96714">
        <w:trPr>
          <w:jc w:val="center"/>
        </w:trPr>
        <w:tc>
          <w:tcPr>
            <w:tcW w:w="9072" w:type="dxa"/>
            <w:shd w:val="clear" w:color="auto" w:fill="auto"/>
          </w:tcPr>
          <w:p w14:paraId="60C56D41" w14:textId="77777777" w:rsidR="00E96714" w:rsidRPr="00D63823" w:rsidRDefault="00E96714" w:rsidP="00E47EF3">
            <w:pPr>
              <w:ind w:left="346"/>
              <w:rPr>
                <w:rFonts w:ascii="MyriadPro-Regular" w:hAnsi="MyriadPro-Regular" w:cs="Arial"/>
              </w:rPr>
            </w:pPr>
            <w:r w:rsidRPr="00D63823">
              <w:rPr>
                <w:rFonts w:ascii="MyriadPro-Regular" w:hAnsi="MyriadPro-Regular" w:cs="Arial"/>
              </w:rPr>
              <w:t>3.1.2 Erradicar la violencia.</w:t>
            </w:r>
          </w:p>
        </w:tc>
      </w:tr>
      <w:tr w:rsidR="00E96714" w:rsidRPr="00D63823" w14:paraId="38DFC411" w14:textId="77777777" w:rsidTr="00E96714">
        <w:trPr>
          <w:jc w:val="center"/>
        </w:trPr>
        <w:tc>
          <w:tcPr>
            <w:tcW w:w="9072" w:type="dxa"/>
            <w:shd w:val="clear" w:color="auto" w:fill="0070C0"/>
          </w:tcPr>
          <w:p w14:paraId="5DA5B363" w14:textId="77777777" w:rsidR="00E96714" w:rsidRPr="00D63823" w:rsidRDefault="00E96714" w:rsidP="00E47EF3">
            <w:pPr>
              <w:rPr>
                <w:rFonts w:ascii="MyriadPro-Regular" w:hAnsi="MyriadPro-Regular" w:cs="Arial"/>
              </w:rPr>
            </w:pPr>
            <w:r w:rsidRPr="00D63823">
              <w:rPr>
                <w:rFonts w:ascii="MyriadPro-Regular" w:hAnsi="MyriadPro-Regular" w:cs="Arial"/>
              </w:rPr>
              <w:t>Acciones</w:t>
            </w:r>
          </w:p>
        </w:tc>
      </w:tr>
      <w:tr w:rsidR="00E96714" w:rsidRPr="00D63823" w14:paraId="4FD26143" w14:textId="77777777" w:rsidTr="00E96714">
        <w:trPr>
          <w:jc w:val="center"/>
        </w:trPr>
        <w:tc>
          <w:tcPr>
            <w:tcW w:w="9072" w:type="dxa"/>
            <w:shd w:val="clear" w:color="auto" w:fill="auto"/>
          </w:tcPr>
          <w:p w14:paraId="7B71979D"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3.1.2.1 Diseñar un programa de identificación temprana de las causas de la violencia en escuelas de educación secundaria hasta nivel superior.</w:t>
            </w:r>
          </w:p>
        </w:tc>
      </w:tr>
      <w:tr w:rsidR="00E96714" w:rsidRPr="00D63823" w14:paraId="378016EF" w14:textId="77777777" w:rsidTr="00E96714">
        <w:trPr>
          <w:jc w:val="center"/>
        </w:trPr>
        <w:tc>
          <w:tcPr>
            <w:tcW w:w="9072" w:type="dxa"/>
            <w:shd w:val="clear" w:color="auto" w:fill="auto"/>
          </w:tcPr>
          <w:p w14:paraId="54EA31AA"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3.1.2.2 Implementar un programa integral para atención, prevención, sanción y erradicación de violencia de género y en contra de los jóvenes en general.</w:t>
            </w:r>
          </w:p>
        </w:tc>
      </w:tr>
      <w:tr w:rsidR="00E96714" w:rsidRPr="00D63823" w14:paraId="3F2ABE1C" w14:textId="77777777" w:rsidTr="00E96714">
        <w:trPr>
          <w:jc w:val="center"/>
        </w:trPr>
        <w:tc>
          <w:tcPr>
            <w:tcW w:w="9072" w:type="dxa"/>
            <w:shd w:val="clear" w:color="auto" w:fill="auto"/>
          </w:tcPr>
          <w:p w14:paraId="47FC8FF0"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3.1.2.3 Establecer programas estratégicos e interinstitucionales para la prevención y erradicación del feminicidio.</w:t>
            </w:r>
          </w:p>
        </w:tc>
      </w:tr>
      <w:tr w:rsidR="00E96714" w:rsidRPr="00D63823" w14:paraId="5D9FF402" w14:textId="77777777" w:rsidTr="00E96714">
        <w:trPr>
          <w:jc w:val="center"/>
        </w:trPr>
        <w:tc>
          <w:tcPr>
            <w:tcW w:w="9072" w:type="dxa"/>
            <w:shd w:val="clear" w:color="auto" w:fill="auto"/>
          </w:tcPr>
          <w:p w14:paraId="65CBFC6E"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 xml:space="preserve">3.1.2.4 Coordinar acciones de atención, asesoría y  gestión en materia de Derechos Humanos en el interior del Estado. </w:t>
            </w:r>
          </w:p>
        </w:tc>
      </w:tr>
      <w:tr w:rsidR="00E96714" w:rsidRPr="00D63823" w14:paraId="07DAB344" w14:textId="77777777" w:rsidTr="00E96714">
        <w:trPr>
          <w:jc w:val="center"/>
        </w:trPr>
        <w:tc>
          <w:tcPr>
            <w:tcW w:w="9072" w:type="dxa"/>
            <w:shd w:val="clear" w:color="auto" w:fill="auto"/>
          </w:tcPr>
          <w:p w14:paraId="5C60C7B8"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3.1.2.5 Diseñar centros para la atención integral de la mujer, en zonas de riesgo de discriminación.</w:t>
            </w:r>
          </w:p>
        </w:tc>
      </w:tr>
      <w:tr w:rsidR="00E96714" w:rsidRPr="00D63823" w14:paraId="068190BB" w14:textId="77777777" w:rsidTr="00E96714">
        <w:trPr>
          <w:jc w:val="center"/>
        </w:trPr>
        <w:tc>
          <w:tcPr>
            <w:tcW w:w="9072" w:type="dxa"/>
            <w:shd w:val="clear" w:color="auto" w:fill="auto"/>
          </w:tcPr>
          <w:p w14:paraId="6C1BEDE0"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 xml:space="preserve">3.1.2.6  Eliminar la violencia interpersonal con el combate al maltrato animal  mediante la implementación y difusión de campañas de educación y respeto hacia los animales, en conjunto con las organizaciones de la sociedad civil. </w:t>
            </w:r>
          </w:p>
        </w:tc>
      </w:tr>
      <w:tr w:rsidR="00E96714" w:rsidRPr="00D63823" w14:paraId="381FCA8A" w14:textId="77777777" w:rsidTr="00E96714">
        <w:trPr>
          <w:jc w:val="center"/>
        </w:trPr>
        <w:tc>
          <w:tcPr>
            <w:tcW w:w="9072" w:type="dxa"/>
            <w:shd w:val="clear" w:color="auto" w:fill="0070C0"/>
          </w:tcPr>
          <w:p w14:paraId="339A0E35" w14:textId="77777777" w:rsidR="00E96714" w:rsidRPr="00D63823" w:rsidRDefault="00E96714" w:rsidP="00E47EF3">
            <w:pPr>
              <w:rPr>
                <w:rFonts w:ascii="MyriadPro-Regular" w:hAnsi="MyriadPro-Regular" w:cs="Arial"/>
              </w:rPr>
            </w:pPr>
            <w:r w:rsidRPr="00D63823">
              <w:rPr>
                <w:rFonts w:ascii="MyriadPro-Regular" w:hAnsi="MyriadPro-Regular" w:cs="Arial"/>
              </w:rPr>
              <w:t>Línea estratégica</w:t>
            </w:r>
          </w:p>
        </w:tc>
      </w:tr>
      <w:tr w:rsidR="00E96714" w:rsidRPr="00D63823" w14:paraId="30287FA1" w14:textId="77777777" w:rsidTr="00E96714">
        <w:trPr>
          <w:jc w:val="center"/>
        </w:trPr>
        <w:tc>
          <w:tcPr>
            <w:tcW w:w="9072" w:type="dxa"/>
            <w:shd w:val="clear" w:color="auto" w:fill="auto"/>
          </w:tcPr>
          <w:p w14:paraId="36A9EE52" w14:textId="77777777" w:rsidR="00E96714" w:rsidRPr="00D63823" w:rsidRDefault="00E96714" w:rsidP="00E47EF3">
            <w:pPr>
              <w:ind w:left="1197" w:hanging="710"/>
              <w:rPr>
                <w:rFonts w:ascii="MyriadPro-Regular" w:hAnsi="MyriadPro-Regular" w:cs="Arial"/>
              </w:rPr>
            </w:pPr>
            <w:r w:rsidRPr="00D63823">
              <w:rPr>
                <w:rFonts w:ascii="MyriadPro-Regular" w:hAnsi="MyriadPro-Regular" w:cs="Arial"/>
              </w:rPr>
              <w:t xml:space="preserve">3.1.3 </w:t>
            </w:r>
            <w:r w:rsidRPr="00D63823">
              <w:rPr>
                <w:rFonts w:ascii="MyriadPro-Regular" w:hAnsi="MyriadPro-Regular" w:cs="Arial"/>
              </w:rPr>
              <w:tab/>
              <w:t>Involucrar a los jóvenes en programas y acciones que les den identidad, integridad y les abran nuevos intereses genuinos.</w:t>
            </w:r>
          </w:p>
        </w:tc>
      </w:tr>
      <w:tr w:rsidR="00E96714" w:rsidRPr="00D63823" w14:paraId="69CE8139" w14:textId="77777777" w:rsidTr="00E96714">
        <w:trPr>
          <w:jc w:val="center"/>
        </w:trPr>
        <w:tc>
          <w:tcPr>
            <w:tcW w:w="9072" w:type="dxa"/>
            <w:shd w:val="clear" w:color="auto" w:fill="0070C0"/>
          </w:tcPr>
          <w:p w14:paraId="1CB5140A" w14:textId="77777777" w:rsidR="00E96714" w:rsidRPr="00D63823" w:rsidRDefault="00E96714" w:rsidP="00E47EF3">
            <w:pPr>
              <w:rPr>
                <w:rFonts w:ascii="MyriadPro-Regular" w:hAnsi="MyriadPro-Regular" w:cs="Arial"/>
              </w:rPr>
            </w:pPr>
            <w:r w:rsidRPr="00D63823">
              <w:rPr>
                <w:rFonts w:ascii="MyriadPro-Regular" w:hAnsi="MyriadPro-Regular" w:cs="Arial"/>
              </w:rPr>
              <w:t>Acciones</w:t>
            </w:r>
          </w:p>
        </w:tc>
      </w:tr>
      <w:tr w:rsidR="00E96714" w:rsidRPr="00D63823" w14:paraId="67E59518" w14:textId="77777777" w:rsidTr="00E96714">
        <w:trPr>
          <w:jc w:val="center"/>
        </w:trPr>
        <w:tc>
          <w:tcPr>
            <w:tcW w:w="9072" w:type="dxa"/>
            <w:shd w:val="clear" w:color="auto" w:fill="auto"/>
          </w:tcPr>
          <w:p w14:paraId="32404D63"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3.1.3.1 Preservar el patrimonio cultural tangible e intangible del Estado con participación plena de la juventud y con un enfoque de respeto al hábitat, a los animales y a los recursos naturales.</w:t>
            </w:r>
          </w:p>
        </w:tc>
      </w:tr>
      <w:tr w:rsidR="00E96714" w:rsidRPr="00D63823" w14:paraId="24216360" w14:textId="77777777" w:rsidTr="00E96714">
        <w:trPr>
          <w:jc w:val="center"/>
        </w:trPr>
        <w:tc>
          <w:tcPr>
            <w:tcW w:w="9072" w:type="dxa"/>
            <w:shd w:val="clear" w:color="auto" w:fill="auto"/>
          </w:tcPr>
          <w:p w14:paraId="6D95BA85"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3.1.3.2 Regionalizar los eventos culturales y deportivos para beneficio de todos los michoacanos.</w:t>
            </w:r>
          </w:p>
        </w:tc>
      </w:tr>
      <w:tr w:rsidR="00E96714" w:rsidRPr="00D63823" w14:paraId="5B467E92" w14:textId="77777777" w:rsidTr="00E96714">
        <w:trPr>
          <w:jc w:val="center"/>
        </w:trPr>
        <w:tc>
          <w:tcPr>
            <w:tcW w:w="9072" w:type="dxa"/>
            <w:shd w:val="clear" w:color="auto" w:fill="auto"/>
          </w:tcPr>
          <w:p w14:paraId="2FEE1272"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3.1.3.3 Implementar el Sistema Estatal de Educación Artística y Cultural.</w:t>
            </w:r>
          </w:p>
        </w:tc>
      </w:tr>
      <w:tr w:rsidR="00E96714" w:rsidRPr="00D63823" w14:paraId="59B51C25" w14:textId="77777777" w:rsidTr="00E96714">
        <w:trPr>
          <w:jc w:val="center"/>
        </w:trPr>
        <w:tc>
          <w:tcPr>
            <w:tcW w:w="9072" w:type="dxa"/>
            <w:shd w:val="clear" w:color="auto" w:fill="auto"/>
          </w:tcPr>
          <w:p w14:paraId="3A729B1B"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3.1.3.4 Formar promotores culturales e instructores deportivos para dar cobertura a todo el Estado, en especial en las zonas de alto índice delictivo.</w:t>
            </w:r>
          </w:p>
        </w:tc>
      </w:tr>
      <w:tr w:rsidR="00E96714" w:rsidRPr="00D63823" w14:paraId="36E22EF7" w14:textId="77777777" w:rsidTr="00E96714">
        <w:trPr>
          <w:jc w:val="center"/>
        </w:trPr>
        <w:tc>
          <w:tcPr>
            <w:tcW w:w="9072" w:type="dxa"/>
            <w:shd w:val="clear" w:color="auto" w:fill="0070C0"/>
          </w:tcPr>
          <w:p w14:paraId="1405A045" w14:textId="77777777" w:rsidR="00E96714" w:rsidRPr="00D63823" w:rsidRDefault="00E96714" w:rsidP="00E47EF3">
            <w:pPr>
              <w:rPr>
                <w:rFonts w:ascii="MyriadPro-Regular" w:hAnsi="MyriadPro-Regular" w:cs="Arial"/>
              </w:rPr>
            </w:pPr>
            <w:r w:rsidRPr="00D63823">
              <w:rPr>
                <w:rFonts w:ascii="MyriadPro-Regular" w:hAnsi="MyriadPro-Regular" w:cs="Arial"/>
              </w:rPr>
              <w:t>Objetivo</w:t>
            </w:r>
          </w:p>
        </w:tc>
      </w:tr>
      <w:tr w:rsidR="00E96714" w:rsidRPr="00D63823" w14:paraId="45BFFA8F" w14:textId="77777777" w:rsidTr="00E96714">
        <w:trPr>
          <w:jc w:val="center"/>
        </w:trPr>
        <w:tc>
          <w:tcPr>
            <w:tcW w:w="9072" w:type="dxa"/>
            <w:shd w:val="clear" w:color="auto" w:fill="auto"/>
          </w:tcPr>
          <w:p w14:paraId="1E30808A" w14:textId="77777777" w:rsidR="00E96714" w:rsidRPr="00D63823" w:rsidRDefault="00E96714" w:rsidP="00E47EF3">
            <w:pPr>
              <w:ind w:left="346" w:hanging="346"/>
              <w:rPr>
                <w:rFonts w:ascii="MyriadPro-Regular" w:hAnsi="MyriadPro-Regular" w:cs="Arial"/>
              </w:rPr>
            </w:pPr>
            <w:r w:rsidRPr="00D63823">
              <w:rPr>
                <w:rFonts w:ascii="MyriadPro-Regular" w:hAnsi="MyriadPro-Regular" w:cs="Arial"/>
              </w:rPr>
              <w:t>3.2 Promover la participación ciudadana, fortaleciendo la confianza en las instituciones mediante la legalidad y la corresponsabilidad.</w:t>
            </w:r>
          </w:p>
        </w:tc>
      </w:tr>
      <w:tr w:rsidR="00E96714" w:rsidRPr="00D63823" w14:paraId="140899F4" w14:textId="77777777" w:rsidTr="00E96714">
        <w:trPr>
          <w:jc w:val="center"/>
        </w:trPr>
        <w:tc>
          <w:tcPr>
            <w:tcW w:w="9072" w:type="dxa"/>
            <w:shd w:val="clear" w:color="auto" w:fill="0070C0"/>
          </w:tcPr>
          <w:p w14:paraId="70FC2447" w14:textId="77777777" w:rsidR="00E96714" w:rsidRPr="00D63823" w:rsidRDefault="00E96714" w:rsidP="00E47EF3">
            <w:pPr>
              <w:rPr>
                <w:rFonts w:ascii="MyriadPro-Regular" w:hAnsi="MyriadPro-Regular" w:cs="Arial"/>
              </w:rPr>
            </w:pPr>
            <w:r w:rsidRPr="00D63823">
              <w:rPr>
                <w:rFonts w:ascii="MyriadPro-Regular" w:hAnsi="MyriadPro-Regular" w:cs="Arial"/>
              </w:rPr>
              <w:lastRenderedPageBreak/>
              <w:t>Línea estratégica</w:t>
            </w:r>
          </w:p>
        </w:tc>
      </w:tr>
      <w:tr w:rsidR="00E96714" w:rsidRPr="00D63823" w14:paraId="067F28AE" w14:textId="77777777" w:rsidTr="00E96714">
        <w:trPr>
          <w:jc w:val="center"/>
        </w:trPr>
        <w:tc>
          <w:tcPr>
            <w:tcW w:w="9072" w:type="dxa"/>
            <w:shd w:val="clear" w:color="auto" w:fill="auto"/>
          </w:tcPr>
          <w:p w14:paraId="2906D752" w14:textId="77777777" w:rsidR="00E96714" w:rsidRPr="00D63823" w:rsidRDefault="00E96714" w:rsidP="00E47EF3">
            <w:pPr>
              <w:ind w:left="346"/>
              <w:rPr>
                <w:rFonts w:ascii="MyriadPro-Regular" w:hAnsi="MyriadPro-Regular" w:cs="Arial"/>
              </w:rPr>
            </w:pPr>
            <w:r w:rsidRPr="00D63823">
              <w:rPr>
                <w:rFonts w:ascii="MyriadPro-Regular" w:hAnsi="MyriadPro-Regular" w:cs="Arial"/>
              </w:rPr>
              <w:t>3.2.1 Reconstruir el tejido social con responsabilidad.</w:t>
            </w:r>
          </w:p>
        </w:tc>
      </w:tr>
      <w:tr w:rsidR="00E96714" w:rsidRPr="00D63823" w14:paraId="09816453" w14:textId="77777777" w:rsidTr="00E96714">
        <w:trPr>
          <w:jc w:val="center"/>
        </w:trPr>
        <w:tc>
          <w:tcPr>
            <w:tcW w:w="9072" w:type="dxa"/>
            <w:shd w:val="clear" w:color="auto" w:fill="0070C0"/>
          </w:tcPr>
          <w:p w14:paraId="57483E0D" w14:textId="77777777" w:rsidR="00E96714" w:rsidRPr="00D63823" w:rsidRDefault="00E96714" w:rsidP="00E47EF3">
            <w:pPr>
              <w:rPr>
                <w:rFonts w:ascii="MyriadPro-Regular" w:hAnsi="MyriadPro-Regular" w:cs="Arial"/>
              </w:rPr>
            </w:pPr>
            <w:r w:rsidRPr="00D63823">
              <w:rPr>
                <w:rFonts w:ascii="MyriadPro-Regular" w:hAnsi="MyriadPro-Regular" w:cs="Arial"/>
              </w:rPr>
              <w:t>Acciones</w:t>
            </w:r>
          </w:p>
        </w:tc>
      </w:tr>
      <w:tr w:rsidR="00E96714" w:rsidRPr="00D63823" w14:paraId="46F2B806" w14:textId="77777777" w:rsidTr="00E96714">
        <w:trPr>
          <w:jc w:val="center"/>
        </w:trPr>
        <w:tc>
          <w:tcPr>
            <w:tcW w:w="9072" w:type="dxa"/>
            <w:shd w:val="clear" w:color="auto" w:fill="auto"/>
          </w:tcPr>
          <w:p w14:paraId="43F27156"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3.2.1.1 Fortalecer la corresponsabilidad entre los sectores ciudadanos y el gobierno.</w:t>
            </w:r>
          </w:p>
        </w:tc>
      </w:tr>
      <w:tr w:rsidR="00E96714" w:rsidRPr="00D63823" w14:paraId="280808B7" w14:textId="77777777" w:rsidTr="00E96714">
        <w:trPr>
          <w:jc w:val="center"/>
        </w:trPr>
        <w:tc>
          <w:tcPr>
            <w:tcW w:w="9072" w:type="dxa"/>
            <w:shd w:val="clear" w:color="auto" w:fill="auto"/>
          </w:tcPr>
          <w:p w14:paraId="688A9877"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3.2.1.2 Promover espacios de opinión para la participación juvenil.</w:t>
            </w:r>
          </w:p>
        </w:tc>
      </w:tr>
      <w:tr w:rsidR="00E96714" w:rsidRPr="00D63823" w14:paraId="438EFCEA" w14:textId="77777777" w:rsidTr="00E96714">
        <w:trPr>
          <w:jc w:val="center"/>
        </w:trPr>
        <w:tc>
          <w:tcPr>
            <w:tcW w:w="9072" w:type="dxa"/>
            <w:shd w:val="clear" w:color="auto" w:fill="auto"/>
          </w:tcPr>
          <w:p w14:paraId="57431524"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3.2.1.3 Fortalecer la atención y participación ciudadana para el desarrollo sociocultural.</w:t>
            </w:r>
          </w:p>
        </w:tc>
      </w:tr>
      <w:tr w:rsidR="00E96714" w:rsidRPr="00D63823" w14:paraId="3819EF13" w14:textId="77777777" w:rsidTr="00E96714">
        <w:trPr>
          <w:jc w:val="center"/>
        </w:trPr>
        <w:tc>
          <w:tcPr>
            <w:tcW w:w="9072" w:type="dxa"/>
            <w:shd w:val="clear" w:color="auto" w:fill="0070C0"/>
          </w:tcPr>
          <w:p w14:paraId="5F8979FE" w14:textId="77777777" w:rsidR="00E96714" w:rsidRPr="00D63823" w:rsidRDefault="00E96714" w:rsidP="00E47EF3">
            <w:pPr>
              <w:rPr>
                <w:rFonts w:ascii="MyriadPro-Regular" w:hAnsi="MyriadPro-Regular" w:cs="Arial"/>
              </w:rPr>
            </w:pPr>
            <w:r w:rsidRPr="00D63823">
              <w:rPr>
                <w:rFonts w:ascii="MyriadPro-Regular" w:hAnsi="MyriadPro-Regular" w:cs="Arial"/>
              </w:rPr>
              <w:t xml:space="preserve">Línea estratégica </w:t>
            </w:r>
          </w:p>
        </w:tc>
      </w:tr>
      <w:tr w:rsidR="00E96714" w:rsidRPr="00D63823" w14:paraId="44163E5B" w14:textId="77777777" w:rsidTr="00E96714">
        <w:trPr>
          <w:jc w:val="center"/>
        </w:trPr>
        <w:tc>
          <w:tcPr>
            <w:tcW w:w="9072" w:type="dxa"/>
            <w:shd w:val="clear" w:color="auto" w:fill="auto"/>
          </w:tcPr>
          <w:p w14:paraId="55F571A9" w14:textId="77777777" w:rsidR="00E96714" w:rsidRPr="00D63823" w:rsidRDefault="00E96714" w:rsidP="00E47EF3">
            <w:pPr>
              <w:ind w:left="346"/>
              <w:rPr>
                <w:rFonts w:ascii="MyriadPro-Regular" w:hAnsi="MyriadPro-Regular" w:cs="Arial"/>
              </w:rPr>
            </w:pPr>
            <w:r w:rsidRPr="00D63823">
              <w:rPr>
                <w:rFonts w:ascii="MyriadPro-Regular" w:hAnsi="MyriadPro-Regular" w:cs="Arial"/>
              </w:rPr>
              <w:t>3.2.2 Detonar oportunidades económicas.</w:t>
            </w:r>
          </w:p>
        </w:tc>
      </w:tr>
      <w:tr w:rsidR="00E96714" w:rsidRPr="00D63823" w14:paraId="042B51F9" w14:textId="77777777" w:rsidTr="00E96714">
        <w:trPr>
          <w:jc w:val="center"/>
        </w:trPr>
        <w:tc>
          <w:tcPr>
            <w:tcW w:w="9072" w:type="dxa"/>
            <w:shd w:val="clear" w:color="auto" w:fill="0070C0"/>
          </w:tcPr>
          <w:p w14:paraId="2462FA5C" w14:textId="77777777" w:rsidR="00E96714" w:rsidRPr="00D63823" w:rsidRDefault="00E96714" w:rsidP="00E47EF3">
            <w:pPr>
              <w:rPr>
                <w:rFonts w:ascii="MyriadPro-Regular" w:hAnsi="MyriadPro-Regular" w:cs="Arial"/>
              </w:rPr>
            </w:pPr>
            <w:r w:rsidRPr="00D63823">
              <w:rPr>
                <w:rFonts w:ascii="MyriadPro-Regular" w:hAnsi="MyriadPro-Regular" w:cs="Arial"/>
              </w:rPr>
              <w:t>Acciones</w:t>
            </w:r>
          </w:p>
        </w:tc>
      </w:tr>
      <w:tr w:rsidR="00E96714" w:rsidRPr="00D63823" w14:paraId="19F642FB" w14:textId="77777777" w:rsidTr="00E96714">
        <w:trPr>
          <w:jc w:val="center"/>
        </w:trPr>
        <w:tc>
          <w:tcPr>
            <w:tcW w:w="9072" w:type="dxa"/>
            <w:shd w:val="clear" w:color="auto" w:fill="auto"/>
          </w:tcPr>
          <w:p w14:paraId="0CF479ED"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3.2.2.1 Capacitar a grupos en situación de vulnerabilidad, en oficios para autoempleo por regiones, por sectores productivos en poblaciones indígenas priorizando vocaciones naturales y conocimientos ancestrales.</w:t>
            </w:r>
          </w:p>
        </w:tc>
      </w:tr>
      <w:tr w:rsidR="00E96714" w:rsidRPr="00D63823" w14:paraId="63F0C099" w14:textId="77777777" w:rsidTr="00E96714">
        <w:trPr>
          <w:jc w:val="center"/>
        </w:trPr>
        <w:tc>
          <w:tcPr>
            <w:tcW w:w="9072" w:type="dxa"/>
            <w:shd w:val="clear" w:color="auto" w:fill="auto"/>
          </w:tcPr>
          <w:p w14:paraId="17744E69"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3.2.2.2 Establecer un programa de inserción y absorción laboral para jóvenes sin empleo.</w:t>
            </w:r>
          </w:p>
        </w:tc>
      </w:tr>
      <w:tr w:rsidR="00E96714" w:rsidRPr="00D63823" w14:paraId="3FF9630A" w14:textId="77777777" w:rsidTr="00E96714">
        <w:trPr>
          <w:jc w:val="center"/>
        </w:trPr>
        <w:tc>
          <w:tcPr>
            <w:tcW w:w="9072" w:type="dxa"/>
            <w:shd w:val="clear" w:color="auto" w:fill="auto"/>
          </w:tcPr>
          <w:p w14:paraId="26199F1A"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 xml:space="preserve">3.2.2.3 Crear programas de reinserción social para grupos en situación de vulnerabilidad. </w:t>
            </w:r>
          </w:p>
        </w:tc>
      </w:tr>
      <w:tr w:rsidR="00E96714" w:rsidRPr="00D63823" w14:paraId="46B040C9" w14:textId="77777777" w:rsidTr="00E96714">
        <w:trPr>
          <w:jc w:val="center"/>
        </w:trPr>
        <w:tc>
          <w:tcPr>
            <w:tcW w:w="9072" w:type="dxa"/>
            <w:shd w:val="clear" w:color="auto" w:fill="auto"/>
          </w:tcPr>
          <w:p w14:paraId="5D59521E"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3.2.2.4 Fomentar la creación de empresas culturales y artísticas.</w:t>
            </w:r>
          </w:p>
        </w:tc>
      </w:tr>
    </w:tbl>
    <w:p w14:paraId="72B22A78" w14:textId="77777777" w:rsidR="00E96714" w:rsidRPr="00D63823" w:rsidRDefault="00E96714" w:rsidP="00E96714">
      <w:pPr>
        <w:rPr>
          <w:rFonts w:ascii="MyriadPro-Regular" w:eastAsia="Times New Roman" w:hAnsi="MyriadPro-Regular" w:cs="Arial"/>
          <w:sz w:val="20"/>
          <w:szCs w:val="20"/>
          <w:lang w:eastAsia="es-MX"/>
        </w:rPr>
      </w:pPr>
    </w:p>
    <w:tbl>
      <w:tblPr>
        <w:tblStyle w:val="Tablaconcuadrcula"/>
        <w:tblW w:w="9072" w:type="dxa"/>
        <w:jc w:val="center"/>
        <w:tblLook w:val="04A0" w:firstRow="1" w:lastRow="0" w:firstColumn="1" w:lastColumn="0" w:noHBand="0" w:noVBand="1"/>
      </w:tblPr>
      <w:tblGrid>
        <w:gridCol w:w="9072"/>
      </w:tblGrid>
      <w:tr w:rsidR="00E96714" w:rsidRPr="00D63823" w14:paraId="7B1232BF" w14:textId="77777777" w:rsidTr="005F4487">
        <w:trPr>
          <w:jc w:val="center"/>
        </w:trPr>
        <w:tc>
          <w:tcPr>
            <w:tcW w:w="9072" w:type="dxa"/>
            <w:shd w:val="clear" w:color="auto" w:fill="0070C0"/>
          </w:tcPr>
          <w:p w14:paraId="38143A6D" w14:textId="77777777" w:rsidR="00E96714" w:rsidRPr="00D63823" w:rsidRDefault="00E96714" w:rsidP="00E47EF3">
            <w:pPr>
              <w:rPr>
                <w:rFonts w:ascii="MyriadPro-Regular" w:hAnsi="MyriadPro-Regular" w:cs="Arial"/>
              </w:rPr>
            </w:pPr>
            <w:r w:rsidRPr="00D63823">
              <w:rPr>
                <w:rFonts w:ascii="MyriadPro-Regular" w:hAnsi="MyriadPro-Regular" w:cs="Arial"/>
              </w:rPr>
              <w:t>Objetivo</w:t>
            </w:r>
          </w:p>
        </w:tc>
      </w:tr>
      <w:tr w:rsidR="00E96714" w:rsidRPr="00D63823" w14:paraId="06208B65" w14:textId="77777777" w:rsidTr="005F4487">
        <w:trPr>
          <w:jc w:val="center"/>
        </w:trPr>
        <w:tc>
          <w:tcPr>
            <w:tcW w:w="9072" w:type="dxa"/>
            <w:shd w:val="clear" w:color="auto" w:fill="auto"/>
          </w:tcPr>
          <w:p w14:paraId="0431D0B6" w14:textId="77777777" w:rsidR="00E96714" w:rsidRPr="00D63823" w:rsidRDefault="00E96714" w:rsidP="00E47EF3">
            <w:pPr>
              <w:ind w:left="487" w:hanging="487"/>
              <w:rPr>
                <w:rFonts w:ascii="MyriadPro-Regular" w:hAnsi="MyriadPro-Regular" w:cs="Arial"/>
              </w:rPr>
            </w:pPr>
            <w:r w:rsidRPr="00D63823">
              <w:rPr>
                <w:rFonts w:ascii="MyriadPro-Regular" w:hAnsi="MyriadPro-Regular" w:cs="Arial"/>
              </w:rPr>
              <w:t>3.3 Desarrollar programas de arte, cultura, deporte y sano esparcimiento en los espacios públicos de las comunidades.</w:t>
            </w:r>
          </w:p>
        </w:tc>
      </w:tr>
      <w:tr w:rsidR="00E96714" w:rsidRPr="00D63823" w14:paraId="21F7BA98" w14:textId="77777777" w:rsidTr="005F4487">
        <w:trPr>
          <w:jc w:val="center"/>
        </w:trPr>
        <w:tc>
          <w:tcPr>
            <w:tcW w:w="9072" w:type="dxa"/>
            <w:shd w:val="clear" w:color="auto" w:fill="0070C0"/>
          </w:tcPr>
          <w:p w14:paraId="29905ACA" w14:textId="77777777" w:rsidR="00E96714" w:rsidRPr="00D63823" w:rsidRDefault="00E96714" w:rsidP="00E47EF3">
            <w:pPr>
              <w:rPr>
                <w:rFonts w:ascii="MyriadPro-Regular" w:hAnsi="MyriadPro-Regular" w:cs="Arial"/>
              </w:rPr>
            </w:pPr>
            <w:r w:rsidRPr="00D63823">
              <w:rPr>
                <w:rFonts w:ascii="MyriadPro-Regular" w:hAnsi="MyriadPro-Regular" w:cs="Arial"/>
              </w:rPr>
              <w:t>Línea estratégica</w:t>
            </w:r>
          </w:p>
        </w:tc>
      </w:tr>
      <w:tr w:rsidR="00E96714" w:rsidRPr="00D63823" w14:paraId="1654FCA6" w14:textId="77777777" w:rsidTr="005F4487">
        <w:trPr>
          <w:jc w:val="center"/>
        </w:trPr>
        <w:tc>
          <w:tcPr>
            <w:tcW w:w="9072" w:type="dxa"/>
            <w:shd w:val="clear" w:color="auto" w:fill="auto"/>
          </w:tcPr>
          <w:p w14:paraId="37BE3070" w14:textId="77777777" w:rsidR="00E96714" w:rsidRPr="00D63823" w:rsidRDefault="00E96714" w:rsidP="00E47EF3">
            <w:pPr>
              <w:ind w:left="487"/>
              <w:rPr>
                <w:rFonts w:ascii="MyriadPro-Regular" w:hAnsi="MyriadPro-Regular" w:cs="Arial"/>
              </w:rPr>
            </w:pPr>
            <w:r w:rsidRPr="00D63823">
              <w:rPr>
                <w:rFonts w:ascii="MyriadPro-Regular" w:hAnsi="MyriadPro-Regular" w:cs="Arial"/>
              </w:rPr>
              <w:t>3.3.1 Activar mente y cuerpo.</w:t>
            </w:r>
          </w:p>
        </w:tc>
      </w:tr>
      <w:tr w:rsidR="00E96714" w:rsidRPr="00D63823" w14:paraId="5AB5FBCC" w14:textId="77777777" w:rsidTr="005F4487">
        <w:trPr>
          <w:jc w:val="center"/>
        </w:trPr>
        <w:tc>
          <w:tcPr>
            <w:tcW w:w="9072" w:type="dxa"/>
            <w:shd w:val="clear" w:color="auto" w:fill="0070C0"/>
          </w:tcPr>
          <w:p w14:paraId="556D3C7A" w14:textId="77777777" w:rsidR="00E96714" w:rsidRPr="00D63823" w:rsidRDefault="00E96714" w:rsidP="00E47EF3">
            <w:pPr>
              <w:rPr>
                <w:rFonts w:ascii="MyriadPro-Regular" w:hAnsi="MyriadPro-Regular" w:cs="Arial"/>
              </w:rPr>
            </w:pPr>
            <w:r w:rsidRPr="00D63823">
              <w:rPr>
                <w:rFonts w:ascii="MyriadPro-Regular" w:hAnsi="MyriadPro-Regular" w:cs="Arial"/>
              </w:rPr>
              <w:t>Acciones</w:t>
            </w:r>
          </w:p>
        </w:tc>
      </w:tr>
      <w:tr w:rsidR="00E96714" w:rsidRPr="00D63823" w14:paraId="4327182B" w14:textId="77777777" w:rsidTr="005F4487">
        <w:trPr>
          <w:jc w:val="center"/>
        </w:trPr>
        <w:tc>
          <w:tcPr>
            <w:tcW w:w="9072" w:type="dxa"/>
            <w:shd w:val="clear" w:color="auto" w:fill="auto"/>
          </w:tcPr>
          <w:p w14:paraId="12899508"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3.3.1.1 Crear espacios deportivos innovadores y funcionales.</w:t>
            </w:r>
          </w:p>
        </w:tc>
      </w:tr>
      <w:tr w:rsidR="00E96714" w:rsidRPr="00D63823" w14:paraId="49A75A54" w14:textId="77777777" w:rsidTr="005F4487">
        <w:trPr>
          <w:jc w:val="center"/>
        </w:trPr>
        <w:tc>
          <w:tcPr>
            <w:tcW w:w="9072" w:type="dxa"/>
            <w:shd w:val="clear" w:color="auto" w:fill="auto"/>
          </w:tcPr>
          <w:p w14:paraId="4DD6EF4E"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3.3.1.2 Identificar niños talento deportivo para otorgar becas semillero.</w:t>
            </w:r>
          </w:p>
        </w:tc>
      </w:tr>
      <w:tr w:rsidR="00E96714" w:rsidRPr="00D63823" w14:paraId="4126365C" w14:textId="77777777" w:rsidTr="005F4487">
        <w:trPr>
          <w:jc w:val="center"/>
        </w:trPr>
        <w:tc>
          <w:tcPr>
            <w:tcW w:w="9072" w:type="dxa"/>
            <w:shd w:val="clear" w:color="auto" w:fill="auto"/>
          </w:tcPr>
          <w:p w14:paraId="34411DEF"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3.3.1.3 Identificar niños talento en las artes para su incorporación e impulso en la disciplina correspondiente.</w:t>
            </w:r>
          </w:p>
        </w:tc>
      </w:tr>
      <w:tr w:rsidR="00E96714" w:rsidRPr="00D63823" w14:paraId="10B4836B" w14:textId="77777777" w:rsidTr="005F4487">
        <w:trPr>
          <w:jc w:val="center"/>
        </w:trPr>
        <w:tc>
          <w:tcPr>
            <w:tcW w:w="9072" w:type="dxa"/>
            <w:shd w:val="clear" w:color="auto" w:fill="auto"/>
          </w:tcPr>
          <w:p w14:paraId="72004DC5"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3.3.1.4 Transparentar y asignar eficientemente las becas deportivas.</w:t>
            </w:r>
          </w:p>
        </w:tc>
      </w:tr>
      <w:tr w:rsidR="00E96714" w:rsidRPr="00D63823" w14:paraId="582F0BA4" w14:textId="77777777" w:rsidTr="005F4487">
        <w:trPr>
          <w:jc w:val="center"/>
        </w:trPr>
        <w:tc>
          <w:tcPr>
            <w:tcW w:w="9072" w:type="dxa"/>
            <w:shd w:val="clear" w:color="auto" w:fill="auto"/>
          </w:tcPr>
          <w:p w14:paraId="7822554B" w14:textId="77777777" w:rsidR="00E96714" w:rsidRPr="00D63823" w:rsidRDefault="00E96714" w:rsidP="00E47EF3">
            <w:pPr>
              <w:ind w:left="2019" w:hanging="850"/>
              <w:jc w:val="both"/>
              <w:rPr>
                <w:rFonts w:ascii="MyriadPro-Regular" w:hAnsi="MyriadPro-Regular" w:cs="Arial"/>
              </w:rPr>
            </w:pPr>
            <w:r w:rsidRPr="00D63823">
              <w:rPr>
                <w:rFonts w:ascii="MyriadPro-Regular" w:hAnsi="MyriadPro-Regular" w:cs="Arial"/>
              </w:rPr>
              <w:t>3.3.1.5 Mantener espacios deportivos públicos y activos para el beneficio de la ciudadanía.</w:t>
            </w:r>
          </w:p>
        </w:tc>
      </w:tr>
    </w:tbl>
    <w:p w14:paraId="1FDE73EA" w14:textId="77777777" w:rsidR="00E96714" w:rsidRPr="001E7327" w:rsidRDefault="00E96714" w:rsidP="00E96714">
      <w:pPr>
        <w:rPr>
          <w:rFonts w:ascii="GalanoGrotesque-Medium" w:hAnsi="GalanoGrotesque-Medium"/>
          <w:b/>
        </w:rPr>
      </w:pPr>
    </w:p>
    <w:p w14:paraId="3411899D" w14:textId="77777777" w:rsidR="007821E7" w:rsidRDefault="007821E7" w:rsidP="00E96714">
      <w:pPr>
        <w:spacing w:after="240"/>
        <w:jc w:val="both"/>
        <w:rPr>
          <w:rFonts w:ascii="GalanoGrotesque-Medium" w:hAnsi="GalanoGrotesque-Medium" w:cs="Arial"/>
          <w:b/>
        </w:rPr>
        <w:sectPr w:rsidR="007821E7" w:rsidSect="00203DDE">
          <w:footnotePr>
            <w:numStart w:val="4"/>
          </w:footnotePr>
          <w:pgSz w:w="12240" w:h="15840"/>
          <w:pgMar w:top="1418" w:right="1134" w:bottom="1418" w:left="1134" w:header="709" w:footer="709" w:gutter="0"/>
          <w:cols w:space="567"/>
          <w:docGrid w:linePitch="360"/>
        </w:sectPr>
      </w:pPr>
    </w:p>
    <w:p w14:paraId="1FD908F4" w14:textId="77777777" w:rsidR="002C72FB" w:rsidRDefault="007821E7" w:rsidP="00E96714">
      <w:pPr>
        <w:spacing w:after="240"/>
        <w:jc w:val="both"/>
        <w:rPr>
          <w:rFonts w:ascii="GalanoGrotesque-Medium" w:hAnsi="GalanoGrotesque-Medium" w:cs="Arial"/>
          <w:b/>
        </w:rPr>
        <w:sectPr w:rsidR="002C72FB" w:rsidSect="00203DDE">
          <w:footnotePr>
            <w:numStart w:val="4"/>
          </w:footnotePr>
          <w:pgSz w:w="12240" w:h="15840"/>
          <w:pgMar w:top="1418" w:right="1134" w:bottom="1418" w:left="1134" w:header="709" w:footer="709" w:gutter="0"/>
          <w:cols w:space="567"/>
          <w:docGrid w:linePitch="360"/>
        </w:sectPr>
      </w:pPr>
      <w:r>
        <w:rPr>
          <w:rFonts w:ascii="GalanoGrotesque-Medium" w:eastAsia="Times New Roman" w:hAnsi="GalanoGrotesque-Medium" w:cs="Arial"/>
          <w:noProof/>
          <w:sz w:val="24"/>
          <w:szCs w:val="24"/>
          <w:lang w:val="es-ES" w:eastAsia="es-ES"/>
        </w:rPr>
        <w:lastRenderedPageBreak/>
        <w:drawing>
          <wp:anchor distT="0" distB="0" distL="114300" distR="114300" simplePos="0" relativeHeight="251809280" behindDoc="0" locked="0" layoutInCell="1" allowOverlap="1" wp14:anchorId="7BE56E8B" wp14:editId="2BCEBF16">
            <wp:simplePos x="0" y="0"/>
            <wp:positionH relativeFrom="page">
              <wp:align>left</wp:align>
            </wp:positionH>
            <wp:positionV relativeFrom="paragraph">
              <wp:posOffset>-1111605</wp:posOffset>
            </wp:positionV>
            <wp:extent cx="7759218" cy="10043721"/>
            <wp:effectExtent l="0" t="0" r="0" b="0"/>
            <wp:wrapNone/>
            <wp:docPr id="59403" name="Imagen 5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3" name="Tema-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59218" cy="10043721"/>
                    </a:xfrm>
                    <a:prstGeom prst="rect">
                      <a:avLst/>
                    </a:prstGeom>
                  </pic:spPr>
                </pic:pic>
              </a:graphicData>
            </a:graphic>
            <wp14:sizeRelH relativeFrom="margin">
              <wp14:pctWidth>0</wp14:pctWidth>
            </wp14:sizeRelH>
            <wp14:sizeRelV relativeFrom="margin">
              <wp14:pctHeight>0</wp14:pctHeight>
            </wp14:sizeRelV>
          </wp:anchor>
        </w:drawing>
      </w:r>
    </w:p>
    <w:p w14:paraId="643945F7" w14:textId="77777777" w:rsidR="005F4487" w:rsidRDefault="005F4487" w:rsidP="00E96714">
      <w:pPr>
        <w:tabs>
          <w:tab w:val="left" w:pos="6524"/>
        </w:tabs>
        <w:rPr>
          <w:rFonts w:ascii="GalanoGrotesque-Medium" w:eastAsia="Times New Roman" w:hAnsi="GalanoGrotesque-Medium" w:cs="Arial"/>
          <w:sz w:val="24"/>
          <w:szCs w:val="24"/>
          <w:lang w:val="es-ES" w:eastAsia="es-ES"/>
        </w:rPr>
        <w:sectPr w:rsidR="005F4487" w:rsidSect="002C72FB">
          <w:footnotePr>
            <w:numStart w:val="4"/>
          </w:footnotePr>
          <w:pgSz w:w="12240" w:h="15840"/>
          <w:pgMar w:top="1418" w:right="1134" w:bottom="1418" w:left="1134" w:header="709" w:footer="709" w:gutter="0"/>
          <w:cols w:space="567"/>
          <w:docGrid w:linePitch="360"/>
        </w:sectPr>
      </w:pPr>
    </w:p>
    <w:p w14:paraId="043DFFF5" w14:textId="77777777" w:rsidR="005F4487" w:rsidRPr="005F4487" w:rsidRDefault="00CC6E00" w:rsidP="00CC6E00">
      <w:pPr>
        <w:keepNext/>
        <w:spacing w:line="320" w:lineRule="exact"/>
        <w:ind w:left="567"/>
        <w:outlineLvl w:val="0"/>
        <w:rPr>
          <w:rFonts w:ascii="GalanoGrotesque-Medium" w:eastAsia="Times New Roman" w:hAnsi="GalanoGrotesque-Medium" w:cs="Arial"/>
          <w:b/>
          <w:bCs/>
          <w:kern w:val="32"/>
          <w:sz w:val="32"/>
          <w:szCs w:val="28"/>
          <w:lang w:val="es-ES" w:eastAsia="es-ES"/>
        </w:rPr>
      </w:pPr>
      <w:bookmarkStart w:id="16" w:name="_Toc455045714"/>
      <w:bookmarkStart w:id="17" w:name="_Toc458015640"/>
      <w:r w:rsidRPr="00CC6E00">
        <w:rPr>
          <w:rFonts w:ascii="GalanoGrotesque-Medium" w:eastAsia="Times New Roman" w:hAnsi="GalanoGrotesque-Medium" w:cs="Arial"/>
          <w:b/>
          <w:bCs/>
          <w:noProof/>
          <w:kern w:val="32"/>
          <w:sz w:val="32"/>
          <w:szCs w:val="28"/>
          <w:lang w:val="es-ES" w:eastAsia="es-ES"/>
        </w:rPr>
        <w:lastRenderedPageBreak/>
        <w:drawing>
          <wp:anchor distT="0" distB="0" distL="114300" distR="114300" simplePos="0" relativeHeight="251810304" behindDoc="0" locked="0" layoutInCell="1" allowOverlap="1" wp14:anchorId="35857ABF" wp14:editId="5CC2BD5D">
            <wp:simplePos x="0" y="0"/>
            <wp:positionH relativeFrom="column">
              <wp:posOffset>-572770</wp:posOffset>
            </wp:positionH>
            <wp:positionV relativeFrom="paragraph">
              <wp:posOffset>-89373</wp:posOffset>
            </wp:positionV>
            <wp:extent cx="914400" cy="594360"/>
            <wp:effectExtent l="0" t="0" r="0" b="0"/>
            <wp:wrapNone/>
            <wp:docPr id="59408" name="Imagen 5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1440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6E00">
        <w:rPr>
          <w:rFonts w:ascii="GalanoGrotesque-Medium" w:eastAsia="Times New Roman" w:hAnsi="GalanoGrotesque-Medium" w:cs="Arial"/>
          <w:b/>
          <w:bCs/>
          <w:kern w:val="32"/>
          <w:sz w:val="32"/>
          <w:szCs w:val="28"/>
          <w:lang w:val="es-ES" w:eastAsia="es-ES"/>
        </w:rPr>
        <w:t>Desarrollo Económico, I</w:t>
      </w:r>
      <w:r w:rsidR="005F4487" w:rsidRPr="00CC6E00">
        <w:rPr>
          <w:rFonts w:ascii="GalanoGrotesque-Medium" w:eastAsia="Times New Roman" w:hAnsi="GalanoGrotesque-Medium" w:cs="Arial"/>
          <w:b/>
          <w:bCs/>
          <w:kern w:val="32"/>
          <w:sz w:val="32"/>
          <w:szCs w:val="28"/>
          <w:lang w:val="es-ES" w:eastAsia="es-ES"/>
        </w:rPr>
        <w:t xml:space="preserve">nversión y </w:t>
      </w:r>
      <w:r w:rsidRPr="00CC6E00">
        <w:rPr>
          <w:rFonts w:ascii="GalanoGrotesque-Medium" w:eastAsia="Times New Roman" w:hAnsi="GalanoGrotesque-Medium" w:cs="Arial"/>
          <w:b/>
          <w:bCs/>
          <w:kern w:val="32"/>
          <w:sz w:val="32"/>
          <w:szCs w:val="28"/>
          <w:lang w:val="es-ES" w:eastAsia="es-ES"/>
        </w:rPr>
        <w:t>E</w:t>
      </w:r>
      <w:r w:rsidR="005F4487" w:rsidRPr="00CC6E00">
        <w:rPr>
          <w:rFonts w:ascii="GalanoGrotesque-Medium" w:eastAsia="Times New Roman" w:hAnsi="GalanoGrotesque-Medium" w:cs="Arial"/>
          <w:b/>
          <w:bCs/>
          <w:kern w:val="32"/>
          <w:sz w:val="32"/>
          <w:szCs w:val="28"/>
          <w:lang w:val="es-ES" w:eastAsia="es-ES"/>
        </w:rPr>
        <w:t xml:space="preserve">mpleo </w:t>
      </w:r>
      <w:r w:rsidRPr="00CC6E00">
        <w:rPr>
          <w:rFonts w:ascii="GalanoGrotesque-Medium" w:eastAsia="Times New Roman" w:hAnsi="GalanoGrotesque-Medium" w:cs="Arial"/>
          <w:b/>
          <w:bCs/>
          <w:kern w:val="32"/>
          <w:sz w:val="32"/>
          <w:szCs w:val="28"/>
          <w:lang w:val="es-ES" w:eastAsia="es-ES"/>
        </w:rPr>
        <w:t>D</w:t>
      </w:r>
      <w:r w:rsidR="005F4487" w:rsidRPr="00CC6E00">
        <w:rPr>
          <w:rFonts w:ascii="GalanoGrotesque-Medium" w:eastAsia="Times New Roman" w:hAnsi="GalanoGrotesque-Medium" w:cs="Arial"/>
          <w:b/>
          <w:bCs/>
          <w:kern w:val="32"/>
          <w:sz w:val="32"/>
          <w:szCs w:val="28"/>
          <w:lang w:val="es-ES" w:eastAsia="es-ES"/>
        </w:rPr>
        <w:t>igno</w:t>
      </w:r>
      <w:bookmarkEnd w:id="16"/>
      <w:bookmarkEnd w:id="17"/>
    </w:p>
    <w:p w14:paraId="59910AB5" w14:textId="77777777" w:rsidR="005F4487" w:rsidRPr="002C72FB" w:rsidRDefault="005F4487" w:rsidP="00CC6E00">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El desarrollo económico, entendido como la capacidad de producir, obtener riqueza y mejores niveles de vida para la población, requiere finanzas públicas sanas, eje de Gobernanza de este gobierno. La construcción de un modelo económico exitoso contempla, por un lado, la estrategia de generación de oportunidades y el desarrollo de las capacidades en las personas para aprovecharlas y, por el otro, la erradicación de obstáculos y factores negativos tales como: la inseguridad, la corrupción, el clientelismo, la falta de infraestructura, la baja productividad, entre otros.</w:t>
      </w:r>
    </w:p>
    <w:p w14:paraId="2C549E24" w14:textId="77777777" w:rsidR="005F4487" w:rsidRPr="002C72FB" w:rsidRDefault="005F4487" w:rsidP="00CC6E00">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Impulsar el mercado interno, las redes de intercambio entre productores locales, la exportación de nuestros productos líderes y la generación de valor agregado, serán palancas de nuestro desarrollo económico y promotoras de inversión y empleo digno en los próximos años.</w:t>
      </w:r>
    </w:p>
    <w:p w14:paraId="4543A37E" w14:textId="77777777" w:rsidR="005F4487" w:rsidRPr="002C72FB" w:rsidRDefault="005F4487" w:rsidP="00CC6E00">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Mejorar la economía es una aspiración sustantiva y común de todos en el Estado. La población reclama empleo digno, requiere condiciones para invertir, así como financiamiento para sus actividades productivas; solicita carreteras, comunicaciones, aeropuertos, energía limpia e infraestructura digital para poder comercializar sus productos y servicios.</w:t>
      </w:r>
    </w:p>
    <w:p w14:paraId="4EE3FF80" w14:textId="77777777" w:rsidR="005F4487" w:rsidRPr="002C72FB" w:rsidRDefault="005F4487" w:rsidP="00CC6E00">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El alto índice de migración hace que uno de los más importantes ingresos en el Estado sea de nuestros paisanos michoacanos a sus familias y comunidades a través de las remesas. Michoacán recibió $2,042 millones de pesos en el 2013 participando con el 9.2% del total nacional de las remesas recibidas en el país cifra que se incrementó al 12.5% en el 2015</w:t>
      </w:r>
      <w:r w:rsidRPr="00C30517">
        <w:rPr>
          <w:rFonts w:ascii="MyriadPro-Regular" w:hAnsi="MyriadPro-Regular" w:cs="MyriadPro-Regular"/>
          <w:color w:val="414142"/>
          <w:sz w:val="20"/>
          <w:szCs w:val="20"/>
          <w:vertAlign w:val="superscript"/>
        </w:rPr>
        <w:footnoteReference w:id="4"/>
      </w:r>
      <w:r w:rsidRPr="002C72FB">
        <w:rPr>
          <w:rFonts w:ascii="MyriadPro-Regular" w:hAnsi="MyriadPro-Regular" w:cs="MyriadPro-Regular"/>
          <w:color w:val="414142"/>
          <w:sz w:val="20"/>
          <w:szCs w:val="20"/>
        </w:rPr>
        <w:t xml:space="preserve">. Las remesas que han representado en los últimos años el 7% del PIB estatal, son parte importante de la economía familiar, y apoyan el desarrollo de las comunidades, generando  fuentes de empleo y consumo de bienes y servicios, detonando la economía local con un efecto multiplicador que permea en varias regiones del Estado. </w:t>
      </w:r>
    </w:p>
    <w:p w14:paraId="1BCDAC77" w14:textId="77777777" w:rsidR="005F4487" w:rsidRPr="002C72FB" w:rsidRDefault="005F4487" w:rsidP="00CC6E00">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Michoacán tiene mucho que ofrecer a México y al mundo, y es que su cultura es amplia, rica y diversa a lo largo de la entidad. El Estado tiene ciudades </w:t>
      </w:r>
      <w:r w:rsidRPr="002C72FB">
        <w:rPr>
          <w:rFonts w:ascii="MyriadPro-Regular" w:hAnsi="MyriadPro-Regular" w:cs="MyriadPro-Regular"/>
          <w:color w:val="414142"/>
          <w:sz w:val="20"/>
          <w:szCs w:val="20"/>
        </w:rPr>
        <w:lastRenderedPageBreak/>
        <w:t xml:space="preserve">coloniales de gran belleza, parajes naturales excepcionales, playas únicas con paisajes formidables; existen ventanas de oportunidad entre pueblos mágicos y comunidades indígenas colmadas de arte, color, artesanías e historia. Todo ello se impulsará en esta administración para generar riqueza en la Entidad. </w:t>
      </w:r>
    </w:p>
    <w:p w14:paraId="3C5E1857" w14:textId="77777777" w:rsidR="005F4487" w:rsidRPr="002C72FB" w:rsidRDefault="005F4487" w:rsidP="00CC6E00">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La regionalización vigente en el Estado se basa en una clasificación que considera como fundamento de integración a las cuencas hidrológicas, asociadas a la vocación e infraestructura de los pueblos michoacanos y a elementos de integración e identidad cultural. Los aspectos territoriales y geográficos se han convertido en referentes fundamentales de los procesos socioeconómicos y soporte en el diseño y aplicación de las políticas públicas en los últimos años.</w:t>
      </w:r>
    </w:p>
    <w:p w14:paraId="00D8838C" w14:textId="77777777" w:rsidR="005F4487" w:rsidRPr="00CC6E00" w:rsidRDefault="005F4487" w:rsidP="00CC6E00">
      <w:pPr>
        <w:widowControl w:val="0"/>
        <w:autoSpaceDE w:val="0"/>
        <w:autoSpaceDN w:val="0"/>
        <w:adjustRightInd w:val="0"/>
        <w:spacing w:after="0" w:line="180" w:lineRule="exact"/>
        <w:jc w:val="center"/>
        <w:rPr>
          <w:rFonts w:ascii="GalanoGrotesque-Medium" w:hAnsi="GalanoGrotesque-Medium" w:cs="Arial"/>
          <w:b/>
          <w:sz w:val="16"/>
        </w:rPr>
      </w:pPr>
      <w:r w:rsidRPr="00CC6E00">
        <w:rPr>
          <w:rFonts w:ascii="GalanoGrotesque-Medium" w:hAnsi="GalanoGrotesque-Medium" w:cs="Arial"/>
          <w:b/>
          <w:sz w:val="16"/>
        </w:rPr>
        <w:t xml:space="preserve">Figura 4.1 </w:t>
      </w:r>
    </w:p>
    <w:p w14:paraId="0D3B3F58" w14:textId="77777777" w:rsidR="005F4487" w:rsidRPr="00CC6E00" w:rsidRDefault="005F4487" w:rsidP="00CC6E00">
      <w:pPr>
        <w:widowControl w:val="0"/>
        <w:autoSpaceDE w:val="0"/>
        <w:autoSpaceDN w:val="0"/>
        <w:adjustRightInd w:val="0"/>
        <w:spacing w:after="0" w:line="180" w:lineRule="exact"/>
        <w:jc w:val="center"/>
        <w:rPr>
          <w:rFonts w:ascii="GalanoGrotesque-Medium" w:hAnsi="GalanoGrotesque-Medium" w:cs="Arial"/>
          <w:b/>
          <w:sz w:val="16"/>
        </w:rPr>
      </w:pPr>
      <w:r w:rsidRPr="00CC6E00">
        <w:rPr>
          <w:rFonts w:ascii="GalanoGrotesque-Medium" w:hAnsi="GalanoGrotesque-Medium" w:cs="Arial"/>
          <w:b/>
          <w:sz w:val="16"/>
        </w:rPr>
        <w:t>Michoacán y sus regiones</w:t>
      </w:r>
    </w:p>
    <w:p w14:paraId="34F9D043" w14:textId="77777777" w:rsidR="005F4487" w:rsidRPr="001E7327" w:rsidRDefault="005F4487" w:rsidP="005F4487">
      <w:pPr>
        <w:widowControl w:val="0"/>
        <w:autoSpaceDE w:val="0"/>
        <w:autoSpaceDN w:val="0"/>
        <w:adjustRightInd w:val="0"/>
        <w:spacing w:line="240" w:lineRule="atLeast"/>
        <w:jc w:val="center"/>
        <w:rPr>
          <w:rFonts w:ascii="GalanoGrotesque-Medium" w:hAnsi="GalanoGrotesque-Medium" w:cs="Arial"/>
          <w:b/>
        </w:rPr>
      </w:pPr>
    </w:p>
    <w:p w14:paraId="6EB76FA5" w14:textId="77777777" w:rsidR="005F4487" w:rsidRPr="001E7327" w:rsidRDefault="005F4487" w:rsidP="005F4487">
      <w:pPr>
        <w:widowControl w:val="0"/>
        <w:autoSpaceDE w:val="0"/>
        <w:autoSpaceDN w:val="0"/>
        <w:adjustRightInd w:val="0"/>
        <w:spacing w:line="240" w:lineRule="atLeast"/>
        <w:jc w:val="center"/>
        <w:rPr>
          <w:rFonts w:ascii="GalanoGrotesque-Medium" w:hAnsi="GalanoGrotesque-Medium" w:cs="Arial"/>
          <w:b/>
        </w:rPr>
      </w:pPr>
      <w:r w:rsidRPr="001E7327">
        <w:rPr>
          <w:rFonts w:ascii="GalanoGrotesque-Medium" w:hAnsi="GalanoGrotesque-Medium" w:cs="Arial"/>
          <w:noProof/>
          <w:lang w:val="es-ES" w:eastAsia="es-ES"/>
        </w:rPr>
        <w:drawing>
          <wp:inline distT="0" distB="0" distL="0" distR="0" wp14:anchorId="35E779AB" wp14:editId="0C3369A5">
            <wp:extent cx="3432120" cy="236995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65492" cy="2393002"/>
                    </a:xfrm>
                    <a:prstGeom prst="rect">
                      <a:avLst/>
                    </a:prstGeom>
                    <a:noFill/>
                  </pic:spPr>
                </pic:pic>
              </a:graphicData>
            </a:graphic>
          </wp:inline>
        </w:drawing>
      </w:r>
    </w:p>
    <w:p w14:paraId="0E42F236" w14:textId="77777777" w:rsidR="005F4487" w:rsidRDefault="005F4487" w:rsidP="00CC6E00">
      <w:pPr>
        <w:widowControl w:val="0"/>
        <w:autoSpaceDE w:val="0"/>
        <w:autoSpaceDN w:val="0"/>
        <w:adjustRightInd w:val="0"/>
        <w:spacing w:after="160" w:line="180" w:lineRule="exact"/>
        <w:rPr>
          <w:rFonts w:ascii="GalanoGrotesque-Regular" w:hAnsi="GalanoGrotesque-Regular" w:cs="Arial"/>
          <w:b/>
          <w:sz w:val="14"/>
          <w:szCs w:val="20"/>
        </w:rPr>
      </w:pPr>
      <w:r w:rsidRPr="00CC6E00">
        <w:rPr>
          <w:rFonts w:ascii="GalanoGrotesque-Regular" w:hAnsi="GalanoGrotesque-Regular" w:cs="Arial"/>
          <w:sz w:val="14"/>
          <w:szCs w:val="20"/>
        </w:rPr>
        <w:t>Fuente: Coordinación General de Gabinete y Planeación del Gobierno de Michoacán.</w:t>
      </w:r>
    </w:p>
    <w:p w14:paraId="3952B4A5" w14:textId="77777777" w:rsidR="00CC6E00" w:rsidRDefault="00CC6E00" w:rsidP="00C30517">
      <w:pPr>
        <w:autoSpaceDE w:val="0"/>
        <w:autoSpaceDN w:val="0"/>
        <w:adjustRightInd w:val="0"/>
        <w:spacing w:after="160" w:line="240" w:lineRule="auto"/>
        <w:jc w:val="both"/>
        <w:rPr>
          <w:rFonts w:ascii="MyriadPro-Regular" w:hAnsi="MyriadPro-Regular" w:cs="MyriadPro-Regular"/>
          <w:color w:val="414142"/>
          <w:sz w:val="20"/>
          <w:szCs w:val="20"/>
        </w:rPr>
      </w:pPr>
      <w:r>
        <w:rPr>
          <w:rFonts w:ascii="MyriadPro-Regular" w:hAnsi="MyriadPro-Regular" w:cs="MyriadPro-Regular"/>
          <w:color w:val="414142"/>
          <w:sz w:val="20"/>
          <w:szCs w:val="20"/>
        </w:rPr>
        <w:t xml:space="preserve">Michoacán pertenece a la Región Centro de conformidad con las políticas de ordenamiento territorial, sectorial y de desarrollo regional definidas por el Gobierno Federal en el que además participan otras 13 entidades del país. El rol articulador de la región la sitúa como conducto e impulsora de los flujos de transporte e intercambio comercial entre los </w:t>
      </w:r>
      <w:r>
        <w:rPr>
          <w:rFonts w:ascii="MyriadPro-Regular" w:hAnsi="MyriadPro-Regular" w:cs="MyriadPro-Regular"/>
          <w:color w:val="414142"/>
          <w:sz w:val="20"/>
          <w:szCs w:val="20"/>
        </w:rPr>
        <w:lastRenderedPageBreak/>
        <w:t xml:space="preserve">océanos Pacífico y Atlántico, aspecto que el Estado deberá aprovechar a cabalidad dado su alto el índice de especialización productiva en la actividad agropecuaria, silvicultura y pesca, madera </w:t>
      </w:r>
      <w:r w:rsidR="00C30517">
        <w:rPr>
          <w:rFonts w:ascii="MyriadPro-Regular" w:hAnsi="MyriadPro-Regular" w:cs="MyriadPro-Regular"/>
          <w:color w:val="414142"/>
          <w:sz w:val="20"/>
          <w:szCs w:val="20"/>
        </w:rPr>
        <w:t>e industrias metálicas básicas.</w:t>
      </w:r>
    </w:p>
    <w:p w14:paraId="34E8EC2B" w14:textId="25153077" w:rsidR="00CC6E00" w:rsidRDefault="00CC6E00" w:rsidP="00CC6E00">
      <w:pPr>
        <w:autoSpaceDE w:val="0"/>
        <w:autoSpaceDN w:val="0"/>
        <w:adjustRightInd w:val="0"/>
        <w:spacing w:after="160" w:line="240" w:lineRule="auto"/>
        <w:jc w:val="both"/>
        <w:rPr>
          <w:rFonts w:ascii="MyriadPro-Regular" w:hAnsi="MyriadPro-Regular" w:cs="MyriadPro-Regular"/>
          <w:color w:val="414142"/>
          <w:sz w:val="20"/>
          <w:szCs w:val="20"/>
        </w:rPr>
      </w:pPr>
      <w:r>
        <w:rPr>
          <w:rFonts w:ascii="MyriadPro-Regular" w:hAnsi="MyriadPro-Regular" w:cs="MyriadPro-Regular"/>
          <w:color w:val="414142"/>
          <w:sz w:val="20"/>
          <w:szCs w:val="20"/>
        </w:rPr>
        <w:t>Sin embargo, existen situaciones que, de no resolverse, retrasarán el desarrollo y el progreso de Michoacán. Finanzas públicas sanas para lograr un cambio positivo es premisa central de ésta administración para invertir recursos en forma estratégica, para fomentar el crecimiento, el consumo responsable, la inversión y la generación de empleo. En suma promover una economía sana basada en</w:t>
      </w:r>
      <w:r w:rsidR="00DE0C10">
        <w:rPr>
          <w:rFonts w:ascii="MyriadPro-Regular" w:hAnsi="MyriadPro-Regular" w:cs="MyriadPro-Regular"/>
          <w:color w:val="414142"/>
          <w:sz w:val="20"/>
          <w:szCs w:val="20"/>
        </w:rPr>
        <w:t xml:space="preserve"> </w:t>
      </w:r>
      <w:r>
        <w:rPr>
          <w:rFonts w:ascii="MyriadPro-Regular" w:hAnsi="MyriadPro-Regular" w:cs="MyriadPro-Regular"/>
          <w:color w:val="414142"/>
          <w:sz w:val="20"/>
          <w:szCs w:val="20"/>
        </w:rPr>
        <w:t>competitividad y generación de empleos dignos.</w:t>
      </w:r>
    </w:p>
    <w:p w14:paraId="66B8F95F" w14:textId="77777777" w:rsidR="00CC6E00" w:rsidRDefault="00CC6E00" w:rsidP="00CC6E00">
      <w:pPr>
        <w:autoSpaceDE w:val="0"/>
        <w:autoSpaceDN w:val="0"/>
        <w:adjustRightInd w:val="0"/>
        <w:spacing w:after="160" w:line="240" w:lineRule="auto"/>
        <w:jc w:val="both"/>
        <w:rPr>
          <w:rFonts w:ascii="MyriadPro-Regular" w:hAnsi="MyriadPro-Regular" w:cs="MyriadPro-Regular"/>
          <w:color w:val="414142"/>
          <w:sz w:val="20"/>
          <w:szCs w:val="20"/>
        </w:rPr>
      </w:pPr>
      <w:r>
        <w:rPr>
          <w:rFonts w:ascii="MyriadPro-Regular" w:hAnsi="MyriadPro-Regular" w:cs="MyriadPro-Regular"/>
          <w:color w:val="414142"/>
          <w:sz w:val="20"/>
          <w:szCs w:val="20"/>
        </w:rPr>
        <w:t xml:space="preserve">Lograr un clima de seguridad y paz es también esencial para fomentar la inversión y el empleo, así como la necesidad de tener recursos humanos calificados que apoyen en forma decidida la innovación y la productividad. De igual forma el gobierno es responsable de tener una mejora regulatoria que incentive la inversión, facilitando trámites y generando las condiciones para que las empresas prefieran invertir en el Estado.  </w:t>
      </w:r>
    </w:p>
    <w:p w14:paraId="6143A3DA" w14:textId="77777777" w:rsidR="00CC6E00" w:rsidRPr="005D3CBA" w:rsidRDefault="00CC6E00" w:rsidP="005D3CBA">
      <w:pPr>
        <w:pStyle w:val="Prrafodelista"/>
        <w:numPr>
          <w:ilvl w:val="0"/>
          <w:numId w:val="21"/>
        </w:numPr>
        <w:autoSpaceDE w:val="0"/>
        <w:autoSpaceDN w:val="0"/>
        <w:adjustRightInd w:val="0"/>
        <w:spacing w:after="160"/>
        <w:ind w:left="426" w:hanging="426"/>
        <w:jc w:val="both"/>
        <w:rPr>
          <w:rFonts w:ascii="MyriadPro-Bold" w:hAnsi="MyriadPro-Bold" w:cs="MyriadPro-Bold"/>
          <w:b/>
          <w:bCs/>
          <w:color w:val="414142"/>
        </w:rPr>
      </w:pPr>
      <w:r w:rsidRPr="005D3CBA">
        <w:rPr>
          <w:rFonts w:ascii="MyriadPro-Bold" w:hAnsi="MyriadPro-Bold" w:cs="MyriadPro-Bold"/>
          <w:b/>
          <w:bCs/>
          <w:color w:val="414142"/>
        </w:rPr>
        <w:t>Como nos encontramos</w:t>
      </w:r>
    </w:p>
    <w:p w14:paraId="7AF1C313" w14:textId="77777777" w:rsidR="00CC6E00" w:rsidRDefault="00CC6E00" w:rsidP="00CC6E00">
      <w:pPr>
        <w:autoSpaceDE w:val="0"/>
        <w:autoSpaceDN w:val="0"/>
        <w:adjustRightInd w:val="0"/>
        <w:spacing w:after="160" w:line="240" w:lineRule="auto"/>
        <w:jc w:val="both"/>
        <w:rPr>
          <w:rFonts w:ascii="MyriadPro-Regular" w:hAnsi="MyriadPro-Regular" w:cs="MyriadPro-Regular"/>
          <w:color w:val="414142"/>
          <w:sz w:val="12"/>
          <w:szCs w:val="12"/>
        </w:rPr>
      </w:pPr>
      <w:r>
        <w:rPr>
          <w:rFonts w:ascii="MyriadPro-Regular" w:hAnsi="MyriadPro-Regular" w:cs="MyriadPro-Regular"/>
          <w:color w:val="414142"/>
          <w:sz w:val="20"/>
          <w:szCs w:val="20"/>
        </w:rPr>
        <w:t xml:space="preserve">El Producto Interno Bruto de Michoacán en el año 2014 fue de $317 mil 961 millones de pesos a precios </w:t>
      </w:r>
      <w:r>
        <w:rPr>
          <w:rFonts w:ascii="MyriadPro-Regular" w:hAnsi="MyriadPro-Regular" w:cs="MyriadPro-Regular"/>
          <w:color w:val="414142"/>
          <w:sz w:val="20"/>
          <w:szCs w:val="20"/>
        </w:rPr>
        <w:lastRenderedPageBreak/>
        <w:t xml:space="preserve">constantes del año 2008, con un crecimiento anual de 6.02%, mayor al nacional. </w:t>
      </w:r>
    </w:p>
    <w:p w14:paraId="27D5AAC9" w14:textId="77777777" w:rsidR="00CC6E00" w:rsidRDefault="00CC6E00" w:rsidP="00CC6E00">
      <w:pPr>
        <w:autoSpaceDE w:val="0"/>
        <w:autoSpaceDN w:val="0"/>
        <w:adjustRightInd w:val="0"/>
        <w:spacing w:after="160" w:line="240" w:lineRule="auto"/>
        <w:jc w:val="both"/>
        <w:rPr>
          <w:rFonts w:ascii="GalanoGrotesque-Regular" w:hAnsi="GalanoGrotesque-Regular" w:cs="Arial"/>
          <w:b/>
          <w:sz w:val="14"/>
          <w:szCs w:val="20"/>
        </w:rPr>
      </w:pPr>
      <w:r>
        <w:rPr>
          <w:rFonts w:ascii="MyriadPro-Regular" w:hAnsi="MyriadPro-Regular" w:cs="MyriadPro-Regular"/>
          <w:color w:val="414142"/>
          <w:sz w:val="20"/>
          <w:szCs w:val="20"/>
        </w:rPr>
        <w:t>Contribuye con el 2.4% de la riqueza del país y ocupa el lugar décimo quinto respecto al porcentaje que aporta al PIB nacional, cifra que puede mejorar de manera sustancial si mejora la productividad de sus sectores productivos dados los recursos que posee.</w:t>
      </w:r>
    </w:p>
    <w:p w14:paraId="4B05B6AA" w14:textId="77777777" w:rsidR="00CC6E00" w:rsidRDefault="00CC6E00" w:rsidP="00CC6E00">
      <w:pPr>
        <w:widowControl w:val="0"/>
        <w:autoSpaceDE w:val="0"/>
        <w:autoSpaceDN w:val="0"/>
        <w:adjustRightInd w:val="0"/>
        <w:spacing w:after="0" w:line="180" w:lineRule="exact"/>
        <w:rPr>
          <w:rFonts w:ascii="GalanoGrotesque-Medium" w:eastAsia="Times New Roman" w:hAnsi="GalanoGrotesque-Medium" w:cs="Arial"/>
          <w:sz w:val="24"/>
          <w:szCs w:val="24"/>
          <w:lang w:val="es-ES" w:eastAsia="es-ES"/>
        </w:rPr>
      </w:pPr>
    </w:p>
    <w:p w14:paraId="353D62D6" w14:textId="77777777" w:rsidR="005F4487" w:rsidRPr="007821E7" w:rsidRDefault="005F4487" w:rsidP="007821E7">
      <w:pPr>
        <w:widowControl w:val="0"/>
        <w:autoSpaceDE w:val="0"/>
        <w:autoSpaceDN w:val="0"/>
        <w:adjustRightInd w:val="0"/>
        <w:spacing w:after="0" w:line="180" w:lineRule="exact"/>
        <w:jc w:val="center"/>
        <w:rPr>
          <w:rFonts w:ascii="GalanoGrotesque-Medium" w:hAnsi="GalanoGrotesque-Medium" w:cs="Arial"/>
          <w:b/>
          <w:sz w:val="16"/>
        </w:rPr>
      </w:pPr>
      <w:r w:rsidRPr="007821E7">
        <w:rPr>
          <w:rFonts w:ascii="GalanoGrotesque-Medium" w:hAnsi="GalanoGrotesque-Medium" w:cs="Arial"/>
          <w:b/>
          <w:sz w:val="16"/>
        </w:rPr>
        <w:t>Gráfica 4.1</w:t>
      </w:r>
    </w:p>
    <w:p w14:paraId="0F0585BC" w14:textId="77777777" w:rsidR="005F4487" w:rsidRPr="007821E7" w:rsidRDefault="005F4487" w:rsidP="007821E7">
      <w:pPr>
        <w:widowControl w:val="0"/>
        <w:autoSpaceDE w:val="0"/>
        <w:autoSpaceDN w:val="0"/>
        <w:adjustRightInd w:val="0"/>
        <w:spacing w:after="160" w:line="180" w:lineRule="exact"/>
        <w:jc w:val="center"/>
        <w:rPr>
          <w:rFonts w:ascii="GalanoGrotesque-Medium" w:hAnsi="GalanoGrotesque-Medium" w:cs="Arial"/>
          <w:b/>
          <w:sz w:val="16"/>
        </w:rPr>
      </w:pPr>
      <w:r w:rsidRPr="007821E7">
        <w:rPr>
          <w:rFonts w:ascii="GalanoGrotesque-Medium" w:hAnsi="GalanoGrotesque-Medium" w:cs="Arial"/>
          <w:b/>
          <w:sz w:val="16"/>
        </w:rPr>
        <w:t>Variación anual del PIB a precios constantes de 2008</w:t>
      </w:r>
    </w:p>
    <w:p w14:paraId="61E8368A" w14:textId="77777777" w:rsidR="005F4487" w:rsidRPr="001E7327" w:rsidRDefault="005F4487" w:rsidP="005F4487">
      <w:pPr>
        <w:spacing w:after="240"/>
        <w:jc w:val="center"/>
        <w:rPr>
          <w:rFonts w:ascii="GalanoGrotesque-Medium" w:hAnsi="GalanoGrotesque-Medium" w:cs="Arial"/>
        </w:rPr>
      </w:pPr>
      <w:r w:rsidRPr="001E7327">
        <w:rPr>
          <w:rFonts w:ascii="GalanoGrotesque-Medium" w:hAnsi="GalanoGrotesque-Medium"/>
          <w:noProof/>
          <w:lang w:val="es-ES" w:eastAsia="es-ES"/>
        </w:rPr>
        <w:drawing>
          <wp:inline distT="0" distB="0" distL="0" distR="0" wp14:anchorId="2B688E39" wp14:editId="6524EBC9">
            <wp:extent cx="3061970" cy="2349796"/>
            <wp:effectExtent l="0" t="0" r="5080" b="12700"/>
            <wp:docPr id="43035" name="Gráfico 43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48143A5" w14:textId="77777777" w:rsidR="005F4487" w:rsidRPr="007821E7" w:rsidRDefault="005F4487" w:rsidP="007821E7">
      <w:pPr>
        <w:spacing w:after="160" w:line="180" w:lineRule="exact"/>
        <w:rPr>
          <w:rFonts w:ascii="GalanoGrotesque-Regular" w:hAnsi="GalanoGrotesque-Regular" w:cs="Arial"/>
          <w:sz w:val="16"/>
          <w:szCs w:val="20"/>
        </w:rPr>
      </w:pPr>
      <w:r w:rsidRPr="007821E7">
        <w:rPr>
          <w:rFonts w:ascii="GalanoGrotesque-Regular" w:hAnsi="GalanoGrotesque-Regular" w:cs="Arial"/>
          <w:sz w:val="16"/>
          <w:szCs w:val="20"/>
        </w:rPr>
        <w:t>Fuente: INEGI 2010- 2014.</w:t>
      </w:r>
    </w:p>
    <w:p w14:paraId="0E0CDFEB" w14:textId="77777777" w:rsidR="007821E7" w:rsidRDefault="007821E7" w:rsidP="005F4487">
      <w:pPr>
        <w:spacing w:after="0"/>
        <w:jc w:val="center"/>
        <w:rPr>
          <w:rFonts w:ascii="GalanoGrotesque-Medium" w:eastAsia="Times New Roman" w:hAnsi="GalanoGrotesque-Medium" w:cs="Arial"/>
          <w:b/>
          <w:sz w:val="24"/>
          <w:szCs w:val="24"/>
          <w:lang w:val="es-ES" w:eastAsia="es-ES"/>
        </w:rPr>
        <w:sectPr w:rsidR="007821E7" w:rsidSect="007821E7">
          <w:footnotePr>
            <w:numStart w:val="4"/>
          </w:footnotePr>
          <w:type w:val="continuous"/>
          <w:pgSz w:w="12240" w:h="15840"/>
          <w:pgMar w:top="1418" w:right="1134" w:bottom="1418" w:left="1134" w:header="709" w:footer="709" w:gutter="0"/>
          <w:cols w:num="2" w:space="567"/>
          <w:docGrid w:linePitch="360"/>
        </w:sectPr>
      </w:pPr>
    </w:p>
    <w:p w14:paraId="1EF6FF15" w14:textId="77777777" w:rsidR="005F4487" w:rsidRPr="007821E7" w:rsidRDefault="005F4487" w:rsidP="007821E7">
      <w:pPr>
        <w:spacing w:after="0" w:line="180" w:lineRule="exact"/>
        <w:jc w:val="center"/>
        <w:rPr>
          <w:rFonts w:ascii="GalanoGrotesque-Medium" w:eastAsia="Times New Roman" w:hAnsi="GalanoGrotesque-Medium" w:cs="Arial"/>
          <w:b/>
          <w:sz w:val="14"/>
          <w:szCs w:val="24"/>
          <w:lang w:val="es-ES" w:eastAsia="es-ES"/>
        </w:rPr>
      </w:pPr>
      <w:r w:rsidRPr="007821E7">
        <w:rPr>
          <w:rFonts w:ascii="GalanoGrotesque-Medium" w:eastAsia="Times New Roman" w:hAnsi="GalanoGrotesque-Medium" w:cs="Arial"/>
          <w:b/>
          <w:sz w:val="14"/>
          <w:szCs w:val="24"/>
          <w:lang w:val="es-ES" w:eastAsia="es-ES"/>
        </w:rPr>
        <w:lastRenderedPageBreak/>
        <w:t>Tabla 4.1</w:t>
      </w:r>
    </w:p>
    <w:p w14:paraId="04A491C3" w14:textId="77777777" w:rsidR="005F4487" w:rsidRPr="007821E7" w:rsidRDefault="005F4487" w:rsidP="007821E7">
      <w:pPr>
        <w:spacing w:after="160" w:line="180" w:lineRule="exact"/>
        <w:jc w:val="center"/>
        <w:rPr>
          <w:rFonts w:ascii="GalanoGrotesque-Medium" w:eastAsia="Times New Roman" w:hAnsi="GalanoGrotesque-Medium" w:cs="Arial"/>
          <w:b/>
          <w:sz w:val="14"/>
          <w:szCs w:val="24"/>
          <w:lang w:val="es-ES" w:eastAsia="es-ES"/>
        </w:rPr>
      </w:pPr>
      <w:r w:rsidRPr="007821E7">
        <w:rPr>
          <w:rFonts w:ascii="GalanoGrotesque-Medium" w:eastAsia="Times New Roman" w:hAnsi="GalanoGrotesque-Medium" w:cs="Arial"/>
          <w:b/>
          <w:sz w:val="14"/>
          <w:szCs w:val="24"/>
          <w:lang w:val="es-ES" w:eastAsia="es-ES"/>
        </w:rPr>
        <w:t xml:space="preserve">Indicadores de desarrollo económico, inversión y empleo </w:t>
      </w:r>
    </w:p>
    <w:tbl>
      <w:tblPr>
        <w:tblW w:w="10480" w:type="dxa"/>
        <w:jc w:val="center"/>
        <w:tblLayout w:type="fixed"/>
        <w:tblCellMar>
          <w:left w:w="70" w:type="dxa"/>
          <w:right w:w="70" w:type="dxa"/>
        </w:tblCellMar>
        <w:tblLook w:val="04A0" w:firstRow="1" w:lastRow="0" w:firstColumn="1" w:lastColumn="0" w:noHBand="0" w:noVBand="1"/>
      </w:tblPr>
      <w:tblGrid>
        <w:gridCol w:w="4101"/>
        <w:gridCol w:w="1134"/>
        <w:gridCol w:w="567"/>
        <w:gridCol w:w="709"/>
        <w:gridCol w:w="1134"/>
        <w:gridCol w:w="567"/>
        <w:gridCol w:w="567"/>
        <w:gridCol w:w="567"/>
        <w:gridCol w:w="567"/>
        <w:gridCol w:w="567"/>
      </w:tblGrid>
      <w:tr w:rsidR="005F4487" w:rsidRPr="007821E7" w14:paraId="7B9C20F1" w14:textId="77777777" w:rsidTr="007821E7">
        <w:trPr>
          <w:trHeight w:val="525"/>
          <w:jc w:val="center"/>
        </w:trPr>
        <w:tc>
          <w:tcPr>
            <w:tcW w:w="4101" w:type="dxa"/>
            <w:tcBorders>
              <w:top w:val="single" w:sz="8" w:space="0" w:color="auto"/>
              <w:left w:val="single" w:sz="8" w:space="0" w:color="auto"/>
              <w:bottom w:val="nil"/>
              <w:right w:val="single" w:sz="8" w:space="0" w:color="auto"/>
            </w:tcBorders>
            <w:shd w:val="clear" w:color="000000" w:fill="808080"/>
            <w:noWrap/>
            <w:vAlign w:val="center"/>
            <w:hideMark/>
          </w:tcPr>
          <w:p w14:paraId="3878A41B" w14:textId="77777777" w:rsidR="005F4487" w:rsidRPr="007821E7" w:rsidRDefault="005F4487" w:rsidP="007821E7">
            <w:pPr>
              <w:spacing w:after="0" w:line="240" w:lineRule="auto"/>
              <w:jc w:val="center"/>
              <w:rPr>
                <w:rFonts w:ascii="Myriad Pro" w:hAnsi="Myriad Pro"/>
                <w:b/>
                <w:bCs/>
                <w:color w:val="FFFFFF"/>
                <w:sz w:val="14"/>
                <w:szCs w:val="14"/>
                <w:lang w:eastAsia="es-MX"/>
              </w:rPr>
            </w:pPr>
            <w:r w:rsidRPr="007821E7">
              <w:rPr>
                <w:rFonts w:ascii="Myriad Pro" w:hAnsi="Myriad Pro"/>
                <w:b/>
                <w:bCs/>
                <w:color w:val="FFFFFF"/>
                <w:sz w:val="14"/>
                <w:szCs w:val="14"/>
                <w:lang w:eastAsia="es-MX"/>
              </w:rPr>
              <w:t>Indicador</w:t>
            </w:r>
          </w:p>
        </w:tc>
        <w:tc>
          <w:tcPr>
            <w:tcW w:w="1134" w:type="dxa"/>
            <w:tcBorders>
              <w:top w:val="single" w:sz="8" w:space="0" w:color="auto"/>
              <w:left w:val="nil"/>
              <w:bottom w:val="nil"/>
              <w:right w:val="single" w:sz="8" w:space="0" w:color="auto"/>
            </w:tcBorders>
            <w:shd w:val="clear" w:color="000000" w:fill="808080"/>
            <w:noWrap/>
            <w:vAlign w:val="center"/>
            <w:hideMark/>
          </w:tcPr>
          <w:p w14:paraId="073C777A" w14:textId="77777777" w:rsidR="005F4487" w:rsidRPr="007821E7" w:rsidRDefault="005F4487" w:rsidP="007821E7">
            <w:pPr>
              <w:spacing w:after="0" w:line="240" w:lineRule="auto"/>
              <w:jc w:val="center"/>
              <w:rPr>
                <w:rFonts w:ascii="Myriad Pro" w:hAnsi="Myriad Pro"/>
                <w:b/>
                <w:bCs/>
                <w:color w:val="FFFFFF"/>
                <w:sz w:val="14"/>
                <w:szCs w:val="14"/>
                <w:lang w:eastAsia="es-MX"/>
              </w:rPr>
            </w:pPr>
            <w:r w:rsidRPr="007821E7">
              <w:rPr>
                <w:rFonts w:ascii="Myriad Pro" w:hAnsi="Myriad Pro"/>
                <w:b/>
                <w:bCs/>
                <w:color w:val="FFFFFF"/>
                <w:sz w:val="14"/>
                <w:szCs w:val="14"/>
                <w:lang w:eastAsia="es-MX"/>
              </w:rPr>
              <w:t>Fuente</w:t>
            </w:r>
          </w:p>
        </w:tc>
        <w:tc>
          <w:tcPr>
            <w:tcW w:w="567" w:type="dxa"/>
            <w:tcBorders>
              <w:top w:val="single" w:sz="8" w:space="0" w:color="auto"/>
              <w:left w:val="nil"/>
              <w:bottom w:val="nil"/>
              <w:right w:val="single" w:sz="8" w:space="0" w:color="auto"/>
            </w:tcBorders>
            <w:shd w:val="clear" w:color="000000" w:fill="808080"/>
            <w:noWrap/>
            <w:vAlign w:val="center"/>
            <w:hideMark/>
          </w:tcPr>
          <w:p w14:paraId="35C04ABA" w14:textId="77777777" w:rsidR="005F4487" w:rsidRPr="007821E7" w:rsidRDefault="005F4487" w:rsidP="007821E7">
            <w:pPr>
              <w:spacing w:after="0" w:line="240" w:lineRule="auto"/>
              <w:jc w:val="center"/>
              <w:rPr>
                <w:rFonts w:ascii="Myriad Pro" w:hAnsi="Myriad Pro"/>
                <w:b/>
                <w:bCs/>
                <w:color w:val="FFFFFF"/>
                <w:sz w:val="14"/>
                <w:szCs w:val="14"/>
                <w:lang w:eastAsia="es-MX"/>
              </w:rPr>
            </w:pPr>
            <w:proofErr w:type="spellStart"/>
            <w:r w:rsidRPr="007821E7">
              <w:rPr>
                <w:rFonts w:ascii="Myriad Pro" w:hAnsi="Myriad Pro"/>
                <w:b/>
                <w:bCs/>
                <w:color w:val="FFFFFF"/>
                <w:sz w:val="14"/>
                <w:szCs w:val="14"/>
                <w:lang w:eastAsia="es-MX"/>
              </w:rPr>
              <w:t>Rk</w:t>
            </w:r>
            <w:proofErr w:type="spellEnd"/>
          </w:p>
        </w:tc>
        <w:tc>
          <w:tcPr>
            <w:tcW w:w="709" w:type="dxa"/>
            <w:tcBorders>
              <w:top w:val="single" w:sz="8" w:space="0" w:color="auto"/>
              <w:left w:val="nil"/>
              <w:bottom w:val="nil"/>
              <w:right w:val="single" w:sz="8" w:space="0" w:color="auto"/>
            </w:tcBorders>
            <w:shd w:val="clear" w:color="000000" w:fill="808080"/>
            <w:vAlign w:val="center"/>
            <w:hideMark/>
          </w:tcPr>
          <w:p w14:paraId="2CFF9F62" w14:textId="77777777" w:rsidR="005F4487" w:rsidRPr="007821E7" w:rsidRDefault="005F4487" w:rsidP="007821E7">
            <w:pPr>
              <w:spacing w:after="0" w:line="240" w:lineRule="auto"/>
              <w:jc w:val="center"/>
              <w:rPr>
                <w:rFonts w:ascii="Myriad Pro" w:hAnsi="Myriad Pro"/>
                <w:b/>
                <w:bCs/>
                <w:color w:val="FFFFFF"/>
                <w:sz w:val="14"/>
                <w:szCs w:val="14"/>
                <w:lang w:eastAsia="es-MX"/>
              </w:rPr>
            </w:pPr>
            <w:r w:rsidRPr="007821E7">
              <w:rPr>
                <w:rFonts w:ascii="Myriad Pro" w:hAnsi="Myriad Pro"/>
                <w:b/>
                <w:bCs/>
                <w:color w:val="FFFFFF"/>
                <w:sz w:val="14"/>
                <w:szCs w:val="14"/>
                <w:lang w:eastAsia="es-MX"/>
              </w:rPr>
              <w:t xml:space="preserve">Media </w:t>
            </w:r>
            <w:proofErr w:type="spellStart"/>
            <w:r w:rsidRPr="007821E7">
              <w:rPr>
                <w:rFonts w:ascii="Myriad Pro" w:hAnsi="Myriad Pro"/>
                <w:b/>
                <w:bCs/>
                <w:color w:val="FFFFFF"/>
                <w:sz w:val="14"/>
                <w:szCs w:val="14"/>
                <w:lang w:eastAsia="es-MX"/>
              </w:rPr>
              <w:t>Nac</w:t>
            </w:r>
            <w:proofErr w:type="spellEnd"/>
            <w:r w:rsidRPr="007821E7">
              <w:rPr>
                <w:rFonts w:ascii="Myriad Pro" w:hAnsi="Myriad Pro"/>
                <w:b/>
                <w:bCs/>
                <w:color w:val="FFFFFF"/>
                <w:sz w:val="14"/>
                <w:szCs w:val="14"/>
                <w:lang w:eastAsia="es-MX"/>
              </w:rPr>
              <w:t>.</w:t>
            </w:r>
          </w:p>
        </w:tc>
        <w:tc>
          <w:tcPr>
            <w:tcW w:w="1134" w:type="dxa"/>
            <w:tcBorders>
              <w:top w:val="single" w:sz="8" w:space="0" w:color="auto"/>
              <w:left w:val="nil"/>
              <w:bottom w:val="nil"/>
              <w:right w:val="single" w:sz="8" w:space="0" w:color="auto"/>
            </w:tcBorders>
            <w:shd w:val="clear" w:color="000000" w:fill="808080"/>
            <w:vAlign w:val="center"/>
            <w:hideMark/>
          </w:tcPr>
          <w:p w14:paraId="659235F6" w14:textId="77777777" w:rsidR="005F4487" w:rsidRPr="007821E7" w:rsidRDefault="005F4487" w:rsidP="007821E7">
            <w:pPr>
              <w:spacing w:after="0" w:line="240" w:lineRule="auto"/>
              <w:jc w:val="center"/>
              <w:rPr>
                <w:rFonts w:ascii="Myriad Pro" w:hAnsi="Myriad Pro"/>
                <w:b/>
                <w:bCs/>
                <w:color w:val="FFFFFF"/>
                <w:sz w:val="14"/>
                <w:szCs w:val="14"/>
                <w:lang w:eastAsia="es-MX"/>
              </w:rPr>
            </w:pPr>
            <w:r w:rsidRPr="007821E7">
              <w:rPr>
                <w:rFonts w:ascii="Myriad Pro" w:hAnsi="Myriad Pro"/>
                <w:b/>
                <w:bCs/>
                <w:color w:val="FFFFFF"/>
                <w:sz w:val="14"/>
                <w:szCs w:val="14"/>
                <w:lang w:eastAsia="es-MX"/>
              </w:rPr>
              <w:t>Unidad</w:t>
            </w:r>
          </w:p>
        </w:tc>
        <w:tc>
          <w:tcPr>
            <w:tcW w:w="567" w:type="dxa"/>
            <w:tcBorders>
              <w:top w:val="single" w:sz="8" w:space="0" w:color="auto"/>
              <w:left w:val="nil"/>
              <w:bottom w:val="nil"/>
              <w:right w:val="single" w:sz="8" w:space="0" w:color="auto"/>
            </w:tcBorders>
            <w:shd w:val="clear" w:color="000000" w:fill="808080"/>
            <w:noWrap/>
            <w:vAlign w:val="center"/>
            <w:hideMark/>
          </w:tcPr>
          <w:p w14:paraId="352D0385" w14:textId="77777777" w:rsidR="005F4487" w:rsidRPr="007821E7" w:rsidRDefault="005F4487" w:rsidP="007821E7">
            <w:pPr>
              <w:spacing w:after="0" w:line="240" w:lineRule="auto"/>
              <w:jc w:val="center"/>
              <w:rPr>
                <w:rFonts w:ascii="Myriad Pro" w:hAnsi="Myriad Pro"/>
                <w:b/>
                <w:bCs/>
                <w:color w:val="FFFFFF"/>
                <w:sz w:val="14"/>
                <w:szCs w:val="14"/>
                <w:lang w:eastAsia="es-MX"/>
              </w:rPr>
            </w:pPr>
            <w:r w:rsidRPr="007821E7">
              <w:rPr>
                <w:rFonts w:ascii="Myriad Pro" w:hAnsi="Myriad Pro"/>
                <w:b/>
                <w:bCs/>
                <w:color w:val="FFFFFF"/>
                <w:sz w:val="14"/>
                <w:szCs w:val="14"/>
                <w:lang w:eastAsia="es-MX"/>
              </w:rPr>
              <w:t>2010</w:t>
            </w:r>
          </w:p>
        </w:tc>
        <w:tc>
          <w:tcPr>
            <w:tcW w:w="567" w:type="dxa"/>
            <w:tcBorders>
              <w:top w:val="single" w:sz="8" w:space="0" w:color="auto"/>
              <w:left w:val="nil"/>
              <w:bottom w:val="nil"/>
              <w:right w:val="single" w:sz="8" w:space="0" w:color="auto"/>
            </w:tcBorders>
            <w:shd w:val="clear" w:color="000000" w:fill="808080"/>
            <w:noWrap/>
            <w:vAlign w:val="center"/>
            <w:hideMark/>
          </w:tcPr>
          <w:p w14:paraId="1AECE766" w14:textId="77777777" w:rsidR="005F4487" w:rsidRPr="007821E7" w:rsidRDefault="005F4487" w:rsidP="007821E7">
            <w:pPr>
              <w:spacing w:after="0" w:line="240" w:lineRule="auto"/>
              <w:jc w:val="center"/>
              <w:rPr>
                <w:rFonts w:ascii="Myriad Pro" w:hAnsi="Myriad Pro"/>
                <w:b/>
                <w:bCs/>
                <w:color w:val="FFFFFF"/>
                <w:sz w:val="14"/>
                <w:szCs w:val="14"/>
                <w:lang w:eastAsia="es-MX"/>
              </w:rPr>
            </w:pPr>
            <w:r w:rsidRPr="007821E7">
              <w:rPr>
                <w:rFonts w:ascii="Myriad Pro" w:hAnsi="Myriad Pro"/>
                <w:b/>
                <w:bCs/>
                <w:color w:val="FFFFFF"/>
                <w:sz w:val="14"/>
                <w:szCs w:val="14"/>
                <w:lang w:eastAsia="es-MX"/>
              </w:rPr>
              <w:t>2011</w:t>
            </w:r>
          </w:p>
        </w:tc>
        <w:tc>
          <w:tcPr>
            <w:tcW w:w="567" w:type="dxa"/>
            <w:tcBorders>
              <w:top w:val="single" w:sz="8" w:space="0" w:color="auto"/>
              <w:left w:val="nil"/>
              <w:bottom w:val="nil"/>
              <w:right w:val="single" w:sz="8" w:space="0" w:color="auto"/>
            </w:tcBorders>
            <w:shd w:val="clear" w:color="000000" w:fill="808080"/>
            <w:noWrap/>
            <w:vAlign w:val="center"/>
            <w:hideMark/>
          </w:tcPr>
          <w:p w14:paraId="0D7604FB" w14:textId="77777777" w:rsidR="005F4487" w:rsidRPr="007821E7" w:rsidRDefault="005F4487" w:rsidP="007821E7">
            <w:pPr>
              <w:spacing w:after="0" w:line="240" w:lineRule="auto"/>
              <w:jc w:val="center"/>
              <w:rPr>
                <w:rFonts w:ascii="Myriad Pro" w:hAnsi="Myriad Pro"/>
                <w:b/>
                <w:bCs/>
                <w:color w:val="FFFFFF"/>
                <w:sz w:val="14"/>
                <w:szCs w:val="14"/>
                <w:lang w:eastAsia="es-MX"/>
              </w:rPr>
            </w:pPr>
            <w:r w:rsidRPr="007821E7">
              <w:rPr>
                <w:rFonts w:ascii="Myriad Pro" w:hAnsi="Myriad Pro"/>
                <w:b/>
                <w:bCs/>
                <w:color w:val="FFFFFF"/>
                <w:sz w:val="14"/>
                <w:szCs w:val="14"/>
                <w:lang w:eastAsia="es-MX"/>
              </w:rPr>
              <w:t>2012</w:t>
            </w:r>
          </w:p>
        </w:tc>
        <w:tc>
          <w:tcPr>
            <w:tcW w:w="567" w:type="dxa"/>
            <w:tcBorders>
              <w:top w:val="single" w:sz="8" w:space="0" w:color="auto"/>
              <w:left w:val="nil"/>
              <w:bottom w:val="nil"/>
              <w:right w:val="single" w:sz="8" w:space="0" w:color="auto"/>
            </w:tcBorders>
            <w:shd w:val="clear" w:color="000000" w:fill="808080"/>
            <w:noWrap/>
            <w:vAlign w:val="center"/>
            <w:hideMark/>
          </w:tcPr>
          <w:p w14:paraId="03A9CB42" w14:textId="77777777" w:rsidR="005F4487" w:rsidRPr="007821E7" w:rsidRDefault="005F4487" w:rsidP="007821E7">
            <w:pPr>
              <w:spacing w:after="0" w:line="240" w:lineRule="auto"/>
              <w:jc w:val="center"/>
              <w:rPr>
                <w:rFonts w:ascii="Myriad Pro" w:hAnsi="Myriad Pro"/>
                <w:b/>
                <w:bCs/>
                <w:color w:val="FFFFFF"/>
                <w:sz w:val="14"/>
                <w:szCs w:val="14"/>
                <w:lang w:eastAsia="es-MX"/>
              </w:rPr>
            </w:pPr>
            <w:r w:rsidRPr="007821E7">
              <w:rPr>
                <w:rFonts w:ascii="Myriad Pro" w:hAnsi="Myriad Pro"/>
                <w:b/>
                <w:bCs/>
                <w:color w:val="FFFFFF"/>
                <w:sz w:val="14"/>
                <w:szCs w:val="14"/>
                <w:lang w:eastAsia="es-MX"/>
              </w:rPr>
              <w:t>2013</w:t>
            </w:r>
          </w:p>
        </w:tc>
        <w:tc>
          <w:tcPr>
            <w:tcW w:w="567" w:type="dxa"/>
            <w:tcBorders>
              <w:top w:val="single" w:sz="8" w:space="0" w:color="auto"/>
              <w:left w:val="nil"/>
              <w:bottom w:val="nil"/>
              <w:right w:val="single" w:sz="8" w:space="0" w:color="auto"/>
            </w:tcBorders>
            <w:shd w:val="clear" w:color="000000" w:fill="808080"/>
            <w:noWrap/>
            <w:vAlign w:val="center"/>
            <w:hideMark/>
          </w:tcPr>
          <w:p w14:paraId="23E74DB0" w14:textId="77777777" w:rsidR="005F4487" w:rsidRPr="007821E7" w:rsidRDefault="005F4487" w:rsidP="007821E7">
            <w:pPr>
              <w:spacing w:after="0" w:line="240" w:lineRule="auto"/>
              <w:jc w:val="center"/>
              <w:rPr>
                <w:rFonts w:ascii="Myriad Pro" w:hAnsi="Myriad Pro"/>
                <w:b/>
                <w:bCs/>
                <w:color w:val="FFFFFF"/>
                <w:sz w:val="14"/>
                <w:szCs w:val="14"/>
                <w:lang w:eastAsia="es-MX"/>
              </w:rPr>
            </w:pPr>
            <w:r w:rsidRPr="007821E7">
              <w:rPr>
                <w:rFonts w:ascii="Myriad Pro" w:hAnsi="Myriad Pro"/>
                <w:b/>
                <w:bCs/>
                <w:color w:val="FFFFFF"/>
                <w:sz w:val="14"/>
                <w:szCs w:val="14"/>
                <w:lang w:eastAsia="es-MX"/>
              </w:rPr>
              <w:t>2014</w:t>
            </w:r>
          </w:p>
        </w:tc>
      </w:tr>
      <w:tr w:rsidR="005F4487" w:rsidRPr="007821E7" w14:paraId="0A26BF74" w14:textId="77777777" w:rsidTr="007821E7">
        <w:trPr>
          <w:trHeight w:val="165"/>
          <w:jc w:val="center"/>
        </w:trPr>
        <w:tc>
          <w:tcPr>
            <w:tcW w:w="4101" w:type="dxa"/>
            <w:tcBorders>
              <w:top w:val="single" w:sz="8" w:space="0" w:color="auto"/>
              <w:left w:val="single" w:sz="8" w:space="0" w:color="auto"/>
              <w:bottom w:val="single" w:sz="8" w:space="0" w:color="auto"/>
              <w:right w:val="single" w:sz="8" w:space="0" w:color="auto"/>
            </w:tcBorders>
            <w:shd w:val="clear" w:color="000000" w:fill="EDEDED"/>
            <w:vAlign w:val="center"/>
            <w:hideMark/>
          </w:tcPr>
          <w:p w14:paraId="2FA8ACBF" w14:textId="77777777" w:rsidR="005F4487" w:rsidRPr="007821E7" w:rsidRDefault="005F4487" w:rsidP="007821E7">
            <w:pPr>
              <w:spacing w:after="0" w:line="240" w:lineRule="auto"/>
              <w:rPr>
                <w:rFonts w:ascii="Myriad Pro" w:hAnsi="Myriad Pro"/>
                <w:color w:val="000000"/>
                <w:sz w:val="14"/>
                <w:szCs w:val="14"/>
                <w:lang w:eastAsia="es-MX"/>
              </w:rPr>
            </w:pPr>
            <w:r w:rsidRPr="007821E7">
              <w:rPr>
                <w:rFonts w:ascii="Myriad Pro" w:hAnsi="Myriad Pro"/>
                <w:color w:val="000000"/>
                <w:sz w:val="14"/>
                <w:szCs w:val="14"/>
                <w:lang w:eastAsia="es-MX"/>
              </w:rPr>
              <w:t>Variación anual del PIB estatal (constantes)</w:t>
            </w:r>
          </w:p>
        </w:tc>
        <w:tc>
          <w:tcPr>
            <w:tcW w:w="1134" w:type="dxa"/>
            <w:tcBorders>
              <w:top w:val="single" w:sz="8" w:space="0" w:color="auto"/>
              <w:left w:val="nil"/>
              <w:bottom w:val="single" w:sz="8" w:space="0" w:color="auto"/>
              <w:right w:val="single" w:sz="8" w:space="0" w:color="auto"/>
            </w:tcBorders>
            <w:shd w:val="clear" w:color="000000" w:fill="EDEDED"/>
            <w:vAlign w:val="center"/>
            <w:hideMark/>
          </w:tcPr>
          <w:p w14:paraId="74F7E424"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INEGI</w:t>
            </w:r>
          </w:p>
        </w:tc>
        <w:tc>
          <w:tcPr>
            <w:tcW w:w="567" w:type="dxa"/>
            <w:tcBorders>
              <w:top w:val="single" w:sz="8" w:space="0" w:color="auto"/>
              <w:left w:val="nil"/>
              <w:bottom w:val="single" w:sz="8" w:space="0" w:color="auto"/>
              <w:right w:val="single" w:sz="8" w:space="0" w:color="auto"/>
            </w:tcBorders>
            <w:shd w:val="clear" w:color="000000" w:fill="EDEDED"/>
            <w:vAlign w:val="center"/>
            <w:hideMark/>
          </w:tcPr>
          <w:p w14:paraId="64F8213A"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4</w:t>
            </w:r>
          </w:p>
        </w:tc>
        <w:tc>
          <w:tcPr>
            <w:tcW w:w="709" w:type="dxa"/>
            <w:tcBorders>
              <w:top w:val="single" w:sz="8" w:space="0" w:color="auto"/>
              <w:left w:val="nil"/>
              <w:bottom w:val="single" w:sz="8" w:space="0" w:color="auto"/>
              <w:right w:val="single" w:sz="8" w:space="0" w:color="auto"/>
            </w:tcBorders>
            <w:shd w:val="clear" w:color="000000" w:fill="EDEDED"/>
            <w:vAlign w:val="center"/>
            <w:hideMark/>
          </w:tcPr>
          <w:p w14:paraId="1E1F9A7E"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2.82</w:t>
            </w:r>
          </w:p>
        </w:tc>
        <w:tc>
          <w:tcPr>
            <w:tcW w:w="1134" w:type="dxa"/>
            <w:tcBorders>
              <w:top w:val="single" w:sz="8" w:space="0" w:color="auto"/>
              <w:left w:val="nil"/>
              <w:bottom w:val="single" w:sz="8" w:space="0" w:color="auto"/>
              <w:right w:val="single" w:sz="8" w:space="0" w:color="auto"/>
            </w:tcBorders>
            <w:shd w:val="clear" w:color="000000" w:fill="EDEDED"/>
            <w:vAlign w:val="center"/>
            <w:hideMark/>
          </w:tcPr>
          <w:p w14:paraId="3D76A73E"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Tasa</w:t>
            </w:r>
          </w:p>
        </w:tc>
        <w:tc>
          <w:tcPr>
            <w:tcW w:w="567" w:type="dxa"/>
            <w:tcBorders>
              <w:top w:val="single" w:sz="8" w:space="0" w:color="auto"/>
              <w:left w:val="nil"/>
              <w:bottom w:val="single" w:sz="8" w:space="0" w:color="auto"/>
              <w:right w:val="single" w:sz="8" w:space="0" w:color="auto"/>
            </w:tcBorders>
            <w:shd w:val="clear" w:color="000000" w:fill="EDEDED"/>
            <w:noWrap/>
            <w:vAlign w:val="center"/>
            <w:hideMark/>
          </w:tcPr>
          <w:p w14:paraId="0BFADCB4"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4.64</w:t>
            </w:r>
          </w:p>
        </w:tc>
        <w:tc>
          <w:tcPr>
            <w:tcW w:w="567" w:type="dxa"/>
            <w:tcBorders>
              <w:top w:val="single" w:sz="8" w:space="0" w:color="auto"/>
              <w:left w:val="nil"/>
              <w:bottom w:val="single" w:sz="8" w:space="0" w:color="auto"/>
              <w:right w:val="single" w:sz="8" w:space="0" w:color="auto"/>
            </w:tcBorders>
            <w:shd w:val="clear" w:color="000000" w:fill="EDEDED"/>
            <w:noWrap/>
            <w:vAlign w:val="center"/>
            <w:hideMark/>
          </w:tcPr>
          <w:p w14:paraId="31F19D70"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3.85</w:t>
            </w:r>
          </w:p>
        </w:tc>
        <w:tc>
          <w:tcPr>
            <w:tcW w:w="567" w:type="dxa"/>
            <w:tcBorders>
              <w:top w:val="single" w:sz="8" w:space="0" w:color="auto"/>
              <w:left w:val="nil"/>
              <w:bottom w:val="single" w:sz="8" w:space="0" w:color="auto"/>
              <w:right w:val="single" w:sz="8" w:space="0" w:color="auto"/>
            </w:tcBorders>
            <w:shd w:val="clear" w:color="000000" w:fill="EDEDED"/>
            <w:noWrap/>
            <w:vAlign w:val="center"/>
            <w:hideMark/>
          </w:tcPr>
          <w:p w14:paraId="1D31A66F"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2.19</w:t>
            </w:r>
          </w:p>
        </w:tc>
        <w:tc>
          <w:tcPr>
            <w:tcW w:w="567" w:type="dxa"/>
            <w:tcBorders>
              <w:top w:val="single" w:sz="8" w:space="0" w:color="auto"/>
              <w:left w:val="nil"/>
              <w:bottom w:val="single" w:sz="8" w:space="0" w:color="auto"/>
              <w:right w:val="single" w:sz="8" w:space="0" w:color="auto"/>
            </w:tcBorders>
            <w:shd w:val="clear" w:color="000000" w:fill="EDEDED"/>
            <w:noWrap/>
            <w:vAlign w:val="center"/>
            <w:hideMark/>
          </w:tcPr>
          <w:p w14:paraId="14CAB483"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2.02</w:t>
            </w:r>
          </w:p>
        </w:tc>
        <w:tc>
          <w:tcPr>
            <w:tcW w:w="567" w:type="dxa"/>
            <w:tcBorders>
              <w:top w:val="single" w:sz="8" w:space="0" w:color="auto"/>
              <w:left w:val="nil"/>
              <w:bottom w:val="single" w:sz="8" w:space="0" w:color="auto"/>
              <w:right w:val="single" w:sz="8" w:space="0" w:color="auto"/>
            </w:tcBorders>
            <w:shd w:val="clear" w:color="000000" w:fill="EDEDED"/>
            <w:noWrap/>
            <w:vAlign w:val="center"/>
            <w:hideMark/>
          </w:tcPr>
          <w:p w14:paraId="3F7BC44E"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6.02</w:t>
            </w:r>
          </w:p>
        </w:tc>
      </w:tr>
      <w:tr w:rsidR="005F4487" w:rsidRPr="007821E7" w14:paraId="78A5940F" w14:textId="77777777" w:rsidTr="007821E7">
        <w:trPr>
          <w:trHeight w:val="125"/>
          <w:jc w:val="center"/>
        </w:trPr>
        <w:tc>
          <w:tcPr>
            <w:tcW w:w="4101" w:type="dxa"/>
            <w:tcBorders>
              <w:top w:val="nil"/>
              <w:left w:val="single" w:sz="8" w:space="0" w:color="auto"/>
              <w:bottom w:val="single" w:sz="8" w:space="0" w:color="auto"/>
              <w:right w:val="single" w:sz="8" w:space="0" w:color="auto"/>
            </w:tcBorders>
            <w:shd w:val="clear" w:color="000000" w:fill="C9C9C9"/>
            <w:vAlign w:val="center"/>
            <w:hideMark/>
          </w:tcPr>
          <w:p w14:paraId="0B8B73D3" w14:textId="77777777" w:rsidR="005F4487" w:rsidRPr="007821E7" w:rsidRDefault="005F4487" w:rsidP="007821E7">
            <w:pPr>
              <w:spacing w:after="0" w:line="240" w:lineRule="auto"/>
              <w:rPr>
                <w:rFonts w:ascii="Myriad Pro" w:hAnsi="Myriad Pro"/>
                <w:color w:val="000000"/>
                <w:sz w:val="14"/>
                <w:szCs w:val="14"/>
                <w:lang w:eastAsia="es-MX"/>
              </w:rPr>
            </w:pPr>
            <w:r w:rsidRPr="007821E7">
              <w:rPr>
                <w:rFonts w:ascii="Myriad Pro" w:hAnsi="Myriad Pro"/>
                <w:color w:val="000000"/>
                <w:sz w:val="14"/>
                <w:szCs w:val="14"/>
                <w:lang w:eastAsia="es-MX"/>
              </w:rPr>
              <w:t>Indicador Trimestral de Actividad Económica Estatal (ITAEE)</w:t>
            </w:r>
          </w:p>
        </w:tc>
        <w:tc>
          <w:tcPr>
            <w:tcW w:w="1134" w:type="dxa"/>
            <w:tcBorders>
              <w:top w:val="nil"/>
              <w:left w:val="nil"/>
              <w:bottom w:val="single" w:sz="8" w:space="0" w:color="auto"/>
              <w:right w:val="single" w:sz="8" w:space="0" w:color="auto"/>
            </w:tcBorders>
            <w:shd w:val="clear" w:color="000000" w:fill="C9C9C9"/>
            <w:vAlign w:val="center"/>
            <w:hideMark/>
          </w:tcPr>
          <w:p w14:paraId="7FE71F58"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INEGI</w:t>
            </w:r>
          </w:p>
        </w:tc>
        <w:tc>
          <w:tcPr>
            <w:tcW w:w="567" w:type="dxa"/>
            <w:tcBorders>
              <w:top w:val="nil"/>
              <w:left w:val="nil"/>
              <w:bottom w:val="single" w:sz="8" w:space="0" w:color="auto"/>
              <w:right w:val="single" w:sz="8" w:space="0" w:color="auto"/>
            </w:tcBorders>
            <w:shd w:val="clear" w:color="000000" w:fill="C9C9C9"/>
            <w:vAlign w:val="center"/>
            <w:hideMark/>
          </w:tcPr>
          <w:p w14:paraId="60AA6DED"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19</w:t>
            </w:r>
          </w:p>
        </w:tc>
        <w:tc>
          <w:tcPr>
            <w:tcW w:w="709" w:type="dxa"/>
            <w:tcBorders>
              <w:top w:val="nil"/>
              <w:left w:val="nil"/>
              <w:bottom w:val="single" w:sz="8" w:space="0" w:color="auto"/>
              <w:right w:val="single" w:sz="8" w:space="0" w:color="auto"/>
            </w:tcBorders>
            <w:shd w:val="clear" w:color="000000" w:fill="C9C9C9"/>
            <w:vAlign w:val="center"/>
            <w:hideMark/>
          </w:tcPr>
          <w:p w14:paraId="0547F9CA"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125.50</w:t>
            </w:r>
          </w:p>
        </w:tc>
        <w:tc>
          <w:tcPr>
            <w:tcW w:w="1134" w:type="dxa"/>
            <w:tcBorders>
              <w:top w:val="nil"/>
              <w:left w:val="nil"/>
              <w:bottom w:val="single" w:sz="8" w:space="0" w:color="auto"/>
              <w:right w:val="single" w:sz="8" w:space="0" w:color="auto"/>
            </w:tcBorders>
            <w:shd w:val="clear" w:color="000000" w:fill="C9C9C9"/>
            <w:vAlign w:val="center"/>
            <w:hideMark/>
          </w:tcPr>
          <w:p w14:paraId="354661F2"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 xml:space="preserve">Índice volumen </w:t>
            </w:r>
          </w:p>
        </w:tc>
        <w:tc>
          <w:tcPr>
            <w:tcW w:w="567" w:type="dxa"/>
            <w:tcBorders>
              <w:top w:val="nil"/>
              <w:left w:val="nil"/>
              <w:bottom w:val="single" w:sz="8" w:space="0" w:color="auto"/>
              <w:right w:val="single" w:sz="8" w:space="0" w:color="auto"/>
            </w:tcBorders>
            <w:shd w:val="clear" w:color="000000" w:fill="C9C9C9"/>
            <w:noWrap/>
            <w:vAlign w:val="center"/>
            <w:hideMark/>
          </w:tcPr>
          <w:p w14:paraId="68285728"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113.4</w:t>
            </w:r>
          </w:p>
        </w:tc>
        <w:tc>
          <w:tcPr>
            <w:tcW w:w="567" w:type="dxa"/>
            <w:tcBorders>
              <w:top w:val="nil"/>
              <w:left w:val="nil"/>
              <w:bottom w:val="single" w:sz="8" w:space="0" w:color="auto"/>
              <w:right w:val="single" w:sz="8" w:space="0" w:color="auto"/>
            </w:tcBorders>
            <w:shd w:val="clear" w:color="000000" w:fill="C9C9C9"/>
            <w:noWrap/>
            <w:vAlign w:val="center"/>
            <w:hideMark/>
          </w:tcPr>
          <w:p w14:paraId="6EA475FE"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118.0</w:t>
            </w:r>
          </w:p>
        </w:tc>
        <w:tc>
          <w:tcPr>
            <w:tcW w:w="567" w:type="dxa"/>
            <w:tcBorders>
              <w:top w:val="nil"/>
              <w:left w:val="nil"/>
              <w:bottom w:val="single" w:sz="8" w:space="0" w:color="auto"/>
              <w:right w:val="single" w:sz="8" w:space="0" w:color="auto"/>
            </w:tcBorders>
            <w:shd w:val="clear" w:color="000000" w:fill="C9C9C9"/>
            <w:noWrap/>
            <w:vAlign w:val="center"/>
            <w:hideMark/>
          </w:tcPr>
          <w:p w14:paraId="364F70A8"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120.8</w:t>
            </w:r>
          </w:p>
        </w:tc>
        <w:tc>
          <w:tcPr>
            <w:tcW w:w="567" w:type="dxa"/>
            <w:tcBorders>
              <w:top w:val="nil"/>
              <w:left w:val="nil"/>
              <w:bottom w:val="single" w:sz="8" w:space="0" w:color="auto"/>
              <w:right w:val="single" w:sz="8" w:space="0" w:color="auto"/>
            </w:tcBorders>
            <w:shd w:val="clear" w:color="000000" w:fill="C9C9C9"/>
            <w:noWrap/>
            <w:vAlign w:val="center"/>
            <w:hideMark/>
          </w:tcPr>
          <w:p w14:paraId="20A1BFB7"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119.0</w:t>
            </w:r>
          </w:p>
        </w:tc>
        <w:tc>
          <w:tcPr>
            <w:tcW w:w="567" w:type="dxa"/>
            <w:tcBorders>
              <w:top w:val="nil"/>
              <w:left w:val="nil"/>
              <w:bottom w:val="single" w:sz="8" w:space="0" w:color="auto"/>
              <w:right w:val="single" w:sz="8" w:space="0" w:color="auto"/>
            </w:tcBorders>
            <w:shd w:val="clear" w:color="000000" w:fill="C9C9C9"/>
            <w:noWrap/>
            <w:vAlign w:val="center"/>
            <w:hideMark/>
          </w:tcPr>
          <w:p w14:paraId="78448B6C"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113.5</w:t>
            </w:r>
          </w:p>
        </w:tc>
      </w:tr>
      <w:tr w:rsidR="005F4487" w:rsidRPr="007821E7" w14:paraId="688C0EBB" w14:textId="77777777" w:rsidTr="007821E7">
        <w:trPr>
          <w:trHeight w:val="74"/>
          <w:jc w:val="center"/>
        </w:trPr>
        <w:tc>
          <w:tcPr>
            <w:tcW w:w="4101" w:type="dxa"/>
            <w:tcBorders>
              <w:top w:val="nil"/>
              <w:left w:val="single" w:sz="8" w:space="0" w:color="auto"/>
              <w:bottom w:val="single" w:sz="8" w:space="0" w:color="auto"/>
              <w:right w:val="single" w:sz="8" w:space="0" w:color="auto"/>
            </w:tcBorders>
            <w:shd w:val="clear" w:color="000000" w:fill="EDEDED"/>
            <w:vAlign w:val="center"/>
            <w:hideMark/>
          </w:tcPr>
          <w:p w14:paraId="032DFDF6" w14:textId="77777777" w:rsidR="005F4487" w:rsidRPr="007821E7" w:rsidRDefault="005F4487" w:rsidP="007821E7">
            <w:pPr>
              <w:spacing w:after="0" w:line="240" w:lineRule="auto"/>
              <w:rPr>
                <w:rFonts w:ascii="Myriad Pro" w:hAnsi="Myriad Pro"/>
                <w:color w:val="000000"/>
                <w:sz w:val="14"/>
                <w:szCs w:val="14"/>
                <w:lang w:eastAsia="es-MX"/>
              </w:rPr>
            </w:pPr>
            <w:r w:rsidRPr="007821E7">
              <w:rPr>
                <w:rFonts w:ascii="Myriad Pro" w:hAnsi="Myriad Pro"/>
                <w:color w:val="000000"/>
                <w:sz w:val="14"/>
                <w:szCs w:val="14"/>
                <w:lang w:eastAsia="es-MX"/>
              </w:rPr>
              <w:t>Porcentaje de población económicamente activa ocupada</w:t>
            </w:r>
          </w:p>
        </w:tc>
        <w:tc>
          <w:tcPr>
            <w:tcW w:w="1134" w:type="dxa"/>
            <w:tcBorders>
              <w:top w:val="nil"/>
              <w:left w:val="nil"/>
              <w:bottom w:val="single" w:sz="8" w:space="0" w:color="auto"/>
              <w:right w:val="single" w:sz="8" w:space="0" w:color="auto"/>
            </w:tcBorders>
            <w:shd w:val="clear" w:color="000000" w:fill="EDEDED"/>
            <w:vAlign w:val="center"/>
            <w:hideMark/>
          </w:tcPr>
          <w:p w14:paraId="1674793F"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INEGI</w:t>
            </w:r>
          </w:p>
        </w:tc>
        <w:tc>
          <w:tcPr>
            <w:tcW w:w="567" w:type="dxa"/>
            <w:tcBorders>
              <w:top w:val="nil"/>
              <w:left w:val="nil"/>
              <w:bottom w:val="single" w:sz="8" w:space="0" w:color="auto"/>
              <w:right w:val="single" w:sz="8" w:space="0" w:color="auto"/>
            </w:tcBorders>
            <w:shd w:val="clear" w:color="000000" w:fill="EDEDED"/>
            <w:vAlign w:val="center"/>
            <w:hideMark/>
          </w:tcPr>
          <w:p w14:paraId="0D5C262E"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26</w:t>
            </w:r>
          </w:p>
        </w:tc>
        <w:tc>
          <w:tcPr>
            <w:tcW w:w="709" w:type="dxa"/>
            <w:tcBorders>
              <w:top w:val="nil"/>
              <w:left w:val="nil"/>
              <w:bottom w:val="single" w:sz="8" w:space="0" w:color="auto"/>
              <w:right w:val="single" w:sz="8" w:space="0" w:color="auto"/>
            </w:tcBorders>
            <w:shd w:val="clear" w:color="000000" w:fill="EDEDED"/>
            <w:vAlign w:val="center"/>
            <w:hideMark/>
          </w:tcPr>
          <w:p w14:paraId="23317759"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46.58</w:t>
            </w:r>
          </w:p>
        </w:tc>
        <w:tc>
          <w:tcPr>
            <w:tcW w:w="1134" w:type="dxa"/>
            <w:tcBorders>
              <w:top w:val="nil"/>
              <w:left w:val="nil"/>
              <w:bottom w:val="single" w:sz="8" w:space="0" w:color="auto"/>
              <w:right w:val="single" w:sz="8" w:space="0" w:color="auto"/>
            </w:tcBorders>
            <w:shd w:val="clear" w:color="000000" w:fill="EDEDED"/>
            <w:vAlign w:val="center"/>
            <w:hideMark/>
          </w:tcPr>
          <w:p w14:paraId="3BBC537F"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Porcentaje</w:t>
            </w:r>
          </w:p>
        </w:tc>
        <w:tc>
          <w:tcPr>
            <w:tcW w:w="567" w:type="dxa"/>
            <w:tcBorders>
              <w:top w:val="nil"/>
              <w:left w:val="nil"/>
              <w:bottom w:val="single" w:sz="8" w:space="0" w:color="auto"/>
              <w:right w:val="single" w:sz="8" w:space="0" w:color="auto"/>
            </w:tcBorders>
            <w:shd w:val="clear" w:color="000000" w:fill="EDEDED"/>
            <w:noWrap/>
            <w:vAlign w:val="center"/>
            <w:hideMark/>
          </w:tcPr>
          <w:p w14:paraId="42DBF186"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39.56</w:t>
            </w:r>
          </w:p>
        </w:tc>
        <w:tc>
          <w:tcPr>
            <w:tcW w:w="567" w:type="dxa"/>
            <w:tcBorders>
              <w:top w:val="nil"/>
              <w:left w:val="nil"/>
              <w:bottom w:val="single" w:sz="8" w:space="0" w:color="auto"/>
              <w:right w:val="single" w:sz="8" w:space="0" w:color="auto"/>
            </w:tcBorders>
            <w:shd w:val="clear" w:color="000000" w:fill="EDEDED"/>
            <w:noWrap/>
            <w:vAlign w:val="center"/>
            <w:hideMark/>
          </w:tcPr>
          <w:p w14:paraId="0ACD78FA"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41.94</w:t>
            </w:r>
          </w:p>
        </w:tc>
        <w:tc>
          <w:tcPr>
            <w:tcW w:w="567" w:type="dxa"/>
            <w:tcBorders>
              <w:top w:val="nil"/>
              <w:left w:val="nil"/>
              <w:bottom w:val="single" w:sz="8" w:space="0" w:color="auto"/>
              <w:right w:val="single" w:sz="8" w:space="0" w:color="auto"/>
            </w:tcBorders>
            <w:shd w:val="clear" w:color="000000" w:fill="EDEDED"/>
            <w:noWrap/>
            <w:vAlign w:val="center"/>
            <w:hideMark/>
          </w:tcPr>
          <w:p w14:paraId="07A6B364"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42.50</w:t>
            </w:r>
          </w:p>
        </w:tc>
        <w:tc>
          <w:tcPr>
            <w:tcW w:w="567" w:type="dxa"/>
            <w:tcBorders>
              <w:top w:val="nil"/>
              <w:left w:val="nil"/>
              <w:bottom w:val="single" w:sz="8" w:space="0" w:color="auto"/>
              <w:right w:val="single" w:sz="8" w:space="0" w:color="auto"/>
            </w:tcBorders>
            <w:shd w:val="clear" w:color="000000" w:fill="EDEDED"/>
            <w:noWrap/>
            <w:vAlign w:val="center"/>
            <w:hideMark/>
          </w:tcPr>
          <w:p w14:paraId="213CA905"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42.49</w:t>
            </w:r>
          </w:p>
        </w:tc>
        <w:tc>
          <w:tcPr>
            <w:tcW w:w="567" w:type="dxa"/>
            <w:tcBorders>
              <w:top w:val="nil"/>
              <w:left w:val="nil"/>
              <w:bottom w:val="single" w:sz="8" w:space="0" w:color="auto"/>
              <w:right w:val="single" w:sz="8" w:space="0" w:color="auto"/>
            </w:tcBorders>
            <w:shd w:val="clear" w:color="000000" w:fill="EDEDED"/>
            <w:noWrap/>
            <w:vAlign w:val="center"/>
            <w:hideMark/>
          </w:tcPr>
          <w:p w14:paraId="2F2CE64E"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42.47</w:t>
            </w:r>
          </w:p>
        </w:tc>
      </w:tr>
      <w:tr w:rsidR="005F4487" w:rsidRPr="007821E7" w14:paraId="5E5EACB9" w14:textId="77777777" w:rsidTr="007821E7">
        <w:trPr>
          <w:trHeight w:val="67"/>
          <w:jc w:val="center"/>
        </w:trPr>
        <w:tc>
          <w:tcPr>
            <w:tcW w:w="4101" w:type="dxa"/>
            <w:tcBorders>
              <w:top w:val="nil"/>
              <w:left w:val="single" w:sz="8" w:space="0" w:color="auto"/>
              <w:bottom w:val="single" w:sz="8" w:space="0" w:color="auto"/>
              <w:right w:val="single" w:sz="8" w:space="0" w:color="auto"/>
            </w:tcBorders>
            <w:shd w:val="clear" w:color="000000" w:fill="C9C9C9"/>
            <w:vAlign w:val="center"/>
            <w:hideMark/>
          </w:tcPr>
          <w:p w14:paraId="601E1850" w14:textId="77777777" w:rsidR="005F4487" w:rsidRPr="007821E7" w:rsidRDefault="005F4487" w:rsidP="007821E7">
            <w:pPr>
              <w:spacing w:after="0" w:line="240" w:lineRule="auto"/>
              <w:rPr>
                <w:rFonts w:ascii="Myriad Pro" w:hAnsi="Myriad Pro"/>
                <w:color w:val="000000"/>
                <w:sz w:val="14"/>
                <w:szCs w:val="14"/>
                <w:lang w:eastAsia="es-MX"/>
              </w:rPr>
            </w:pPr>
            <w:r w:rsidRPr="007821E7">
              <w:rPr>
                <w:rFonts w:ascii="Myriad Pro" w:hAnsi="Myriad Pro"/>
                <w:color w:val="000000"/>
                <w:sz w:val="14"/>
                <w:szCs w:val="14"/>
                <w:lang w:eastAsia="es-MX"/>
              </w:rPr>
              <w:t>Porcentaje de PEAO afiliada al IMSS</w:t>
            </w:r>
          </w:p>
        </w:tc>
        <w:tc>
          <w:tcPr>
            <w:tcW w:w="1134" w:type="dxa"/>
            <w:tcBorders>
              <w:top w:val="nil"/>
              <w:left w:val="nil"/>
              <w:bottom w:val="single" w:sz="8" w:space="0" w:color="auto"/>
              <w:right w:val="single" w:sz="8" w:space="0" w:color="auto"/>
            </w:tcBorders>
            <w:shd w:val="clear" w:color="000000" w:fill="C9C9C9"/>
            <w:vAlign w:val="center"/>
            <w:hideMark/>
          </w:tcPr>
          <w:p w14:paraId="7D97A2FB"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INEGI</w:t>
            </w:r>
          </w:p>
        </w:tc>
        <w:tc>
          <w:tcPr>
            <w:tcW w:w="567" w:type="dxa"/>
            <w:tcBorders>
              <w:top w:val="nil"/>
              <w:left w:val="nil"/>
              <w:bottom w:val="single" w:sz="8" w:space="0" w:color="auto"/>
              <w:right w:val="single" w:sz="8" w:space="0" w:color="auto"/>
            </w:tcBorders>
            <w:shd w:val="clear" w:color="000000" w:fill="C9C9C9"/>
            <w:vAlign w:val="center"/>
            <w:hideMark/>
          </w:tcPr>
          <w:p w14:paraId="3D5462EE"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26</w:t>
            </w:r>
          </w:p>
        </w:tc>
        <w:tc>
          <w:tcPr>
            <w:tcW w:w="709" w:type="dxa"/>
            <w:tcBorders>
              <w:top w:val="nil"/>
              <w:left w:val="nil"/>
              <w:bottom w:val="single" w:sz="8" w:space="0" w:color="auto"/>
              <w:right w:val="single" w:sz="8" w:space="0" w:color="auto"/>
            </w:tcBorders>
            <w:shd w:val="clear" w:color="000000" w:fill="C9C9C9"/>
            <w:vAlign w:val="center"/>
            <w:hideMark/>
          </w:tcPr>
          <w:p w14:paraId="69642617"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28.82</w:t>
            </w:r>
          </w:p>
        </w:tc>
        <w:tc>
          <w:tcPr>
            <w:tcW w:w="1134" w:type="dxa"/>
            <w:tcBorders>
              <w:top w:val="nil"/>
              <w:left w:val="nil"/>
              <w:bottom w:val="single" w:sz="8" w:space="0" w:color="auto"/>
              <w:right w:val="single" w:sz="8" w:space="0" w:color="auto"/>
            </w:tcBorders>
            <w:shd w:val="clear" w:color="000000" w:fill="C9C9C9"/>
            <w:vAlign w:val="center"/>
            <w:hideMark/>
          </w:tcPr>
          <w:p w14:paraId="42163432"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Porcentaje</w:t>
            </w:r>
          </w:p>
        </w:tc>
        <w:tc>
          <w:tcPr>
            <w:tcW w:w="567" w:type="dxa"/>
            <w:tcBorders>
              <w:top w:val="nil"/>
              <w:left w:val="nil"/>
              <w:bottom w:val="single" w:sz="8" w:space="0" w:color="auto"/>
              <w:right w:val="single" w:sz="8" w:space="0" w:color="auto"/>
            </w:tcBorders>
            <w:shd w:val="clear" w:color="000000" w:fill="C9C9C9"/>
            <w:noWrap/>
            <w:vAlign w:val="center"/>
            <w:hideMark/>
          </w:tcPr>
          <w:p w14:paraId="68DD34F5"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16.43</w:t>
            </w:r>
          </w:p>
        </w:tc>
        <w:tc>
          <w:tcPr>
            <w:tcW w:w="567" w:type="dxa"/>
            <w:tcBorders>
              <w:top w:val="nil"/>
              <w:left w:val="nil"/>
              <w:bottom w:val="single" w:sz="8" w:space="0" w:color="auto"/>
              <w:right w:val="single" w:sz="8" w:space="0" w:color="auto"/>
            </w:tcBorders>
            <w:shd w:val="clear" w:color="000000" w:fill="C9C9C9"/>
            <w:noWrap/>
            <w:vAlign w:val="center"/>
            <w:hideMark/>
          </w:tcPr>
          <w:p w14:paraId="09459032"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15.90</w:t>
            </w:r>
          </w:p>
        </w:tc>
        <w:tc>
          <w:tcPr>
            <w:tcW w:w="567" w:type="dxa"/>
            <w:tcBorders>
              <w:top w:val="nil"/>
              <w:left w:val="nil"/>
              <w:bottom w:val="single" w:sz="8" w:space="0" w:color="auto"/>
              <w:right w:val="single" w:sz="8" w:space="0" w:color="auto"/>
            </w:tcBorders>
            <w:shd w:val="clear" w:color="000000" w:fill="C9C9C9"/>
            <w:noWrap/>
            <w:vAlign w:val="center"/>
            <w:hideMark/>
          </w:tcPr>
          <w:p w14:paraId="4CB984F0"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16.06</w:t>
            </w:r>
          </w:p>
        </w:tc>
        <w:tc>
          <w:tcPr>
            <w:tcW w:w="567" w:type="dxa"/>
            <w:tcBorders>
              <w:top w:val="nil"/>
              <w:left w:val="nil"/>
              <w:bottom w:val="single" w:sz="8" w:space="0" w:color="auto"/>
              <w:right w:val="single" w:sz="8" w:space="0" w:color="auto"/>
            </w:tcBorders>
            <w:shd w:val="clear" w:color="000000" w:fill="C9C9C9"/>
            <w:noWrap/>
            <w:vAlign w:val="center"/>
            <w:hideMark/>
          </w:tcPr>
          <w:p w14:paraId="042DBC90"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15.97</w:t>
            </w:r>
          </w:p>
        </w:tc>
        <w:tc>
          <w:tcPr>
            <w:tcW w:w="567" w:type="dxa"/>
            <w:tcBorders>
              <w:top w:val="nil"/>
              <w:left w:val="nil"/>
              <w:bottom w:val="single" w:sz="8" w:space="0" w:color="auto"/>
              <w:right w:val="single" w:sz="8" w:space="0" w:color="auto"/>
            </w:tcBorders>
            <w:shd w:val="clear" w:color="000000" w:fill="C9C9C9"/>
            <w:noWrap/>
            <w:vAlign w:val="center"/>
            <w:hideMark/>
          </w:tcPr>
          <w:p w14:paraId="69A79DD4"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16.28</w:t>
            </w:r>
          </w:p>
        </w:tc>
      </w:tr>
      <w:tr w:rsidR="005F4487" w:rsidRPr="007821E7" w14:paraId="7C625838" w14:textId="77777777" w:rsidTr="007821E7">
        <w:trPr>
          <w:trHeight w:val="124"/>
          <w:jc w:val="center"/>
        </w:trPr>
        <w:tc>
          <w:tcPr>
            <w:tcW w:w="4101" w:type="dxa"/>
            <w:tcBorders>
              <w:top w:val="nil"/>
              <w:left w:val="single" w:sz="8" w:space="0" w:color="auto"/>
              <w:bottom w:val="single" w:sz="8" w:space="0" w:color="auto"/>
              <w:right w:val="single" w:sz="8" w:space="0" w:color="auto"/>
            </w:tcBorders>
            <w:shd w:val="clear" w:color="000000" w:fill="EDEDED"/>
            <w:vAlign w:val="center"/>
            <w:hideMark/>
          </w:tcPr>
          <w:p w14:paraId="711525D2" w14:textId="3B2A9B72" w:rsidR="005F4487" w:rsidRPr="007821E7" w:rsidRDefault="005F4487" w:rsidP="007821E7">
            <w:pPr>
              <w:spacing w:after="0" w:line="240" w:lineRule="auto"/>
              <w:rPr>
                <w:rFonts w:ascii="Myriad Pro" w:hAnsi="Myriad Pro"/>
                <w:color w:val="000000"/>
                <w:sz w:val="14"/>
                <w:szCs w:val="14"/>
                <w:lang w:eastAsia="es-MX"/>
              </w:rPr>
            </w:pPr>
            <w:r w:rsidRPr="007821E7">
              <w:rPr>
                <w:rFonts w:ascii="Myriad Pro" w:hAnsi="Myriad Pro"/>
                <w:color w:val="000000"/>
                <w:sz w:val="14"/>
                <w:szCs w:val="14"/>
                <w:lang w:eastAsia="es-MX"/>
              </w:rPr>
              <w:t>Salario promedio anual (</w:t>
            </w:r>
            <w:proofErr w:type="spellStart"/>
            <w:r w:rsidRPr="007821E7">
              <w:rPr>
                <w:rFonts w:ascii="Myriad Pro" w:hAnsi="Myriad Pro"/>
                <w:color w:val="000000"/>
                <w:sz w:val="14"/>
                <w:szCs w:val="14"/>
                <w:lang w:eastAsia="es-MX"/>
              </w:rPr>
              <w:t>dl</w:t>
            </w:r>
            <w:r w:rsidR="00DE0C10">
              <w:rPr>
                <w:rFonts w:ascii="Myriad Pro" w:hAnsi="Myriad Pro"/>
                <w:color w:val="000000"/>
                <w:sz w:val="14"/>
                <w:szCs w:val="14"/>
                <w:lang w:eastAsia="es-MX"/>
              </w:rPr>
              <w:t>l</w:t>
            </w:r>
            <w:r w:rsidRPr="007821E7">
              <w:rPr>
                <w:rFonts w:ascii="Myriad Pro" w:hAnsi="Myriad Pro"/>
                <w:color w:val="000000"/>
                <w:sz w:val="14"/>
                <w:szCs w:val="14"/>
                <w:lang w:eastAsia="es-MX"/>
              </w:rPr>
              <w:t>s</w:t>
            </w:r>
            <w:proofErr w:type="spellEnd"/>
            <w:r w:rsidRPr="007821E7">
              <w:rPr>
                <w:rFonts w:ascii="Myriad Pro" w:hAnsi="Myriad Pro"/>
                <w:color w:val="000000"/>
                <w:sz w:val="14"/>
                <w:szCs w:val="14"/>
                <w:lang w:eastAsia="es-MX"/>
              </w:rPr>
              <w:t>)</w:t>
            </w:r>
          </w:p>
        </w:tc>
        <w:tc>
          <w:tcPr>
            <w:tcW w:w="1134" w:type="dxa"/>
            <w:tcBorders>
              <w:top w:val="nil"/>
              <w:left w:val="nil"/>
              <w:bottom w:val="single" w:sz="8" w:space="0" w:color="auto"/>
              <w:right w:val="single" w:sz="8" w:space="0" w:color="auto"/>
            </w:tcBorders>
            <w:shd w:val="clear" w:color="000000" w:fill="EDEDED"/>
            <w:vAlign w:val="center"/>
            <w:hideMark/>
          </w:tcPr>
          <w:p w14:paraId="5358E9B7"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INEGI</w:t>
            </w:r>
          </w:p>
        </w:tc>
        <w:tc>
          <w:tcPr>
            <w:tcW w:w="567" w:type="dxa"/>
            <w:tcBorders>
              <w:top w:val="nil"/>
              <w:left w:val="nil"/>
              <w:bottom w:val="single" w:sz="8" w:space="0" w:color="auto"/>
              <w:right w:val="single" w:sz="8" w:space="0" w:color="auto"/>
            </w:tcBorders>
            <w:shd w:val="clear" w:color="000000" w:fill="EDEDED"/>
            <w:vAlign w:val="center"/>
            <w:hideMark/>
          </w:tcPr>
          <w:p w14:paraId="150AF836"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17</w:t>
            </w:r>
          </w:p>
        </w:tc>
        <w:tc>
          <w:tcPr>
            <w:tcW w:w="709" w:type="dxa"/>
            <w:tcBorders>
              <w:top w:val="nil"/>
              <w:left w:val="nil"/>
              <w:bottom w:val="single" w:sz="8" w:space="0" w:color="auto"/>
              <w:right w:val="single" w:sz="8" w:space="0" w:color="auto"/>
            </w:tcBorders>
            <w:shd w:val="clear" w:color="000000" w:fill="EDEDED"/>
            <w:vAlign w:val="center"/>
            <w:hideMark/>
          </w:tcPr>
          <w:p w14:paraId="60E0E437"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7.055</w:t>
            </w:r>
          </w:p>
        </w:tc>
        <w:tc>
          <w:tcPr>
            <w:tcW w:w="1134" w:type="dxa"/>
            <w:tcBorders>
              <w:top w:val="nil"/>
              <w:left w:val="nil"/>
              <w:bottom w:val="single" w:sz="8" w:space="0" w:color="auto"/>
              <w:right w:val="single" w:sz="8" w:space="0" w:color="auto"/>
            </w:tcBorders>
            <w:shd w:val="clear" w:color="000000" w:fill="EDEDED"/>
            <w:vAlign w:val="center"/>
            <w:hideMark/>
          </w:tcPr>
          <w:p w14:paraId="2E9FFF74"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Dólares</w:t>
            </w:r>
          </w:p>
        </w:tc>
        <w:tc>
          <w:tcPr>
            <w:tcW w:w="567" w:type="dxa"/>
            <w:tcBorders>
              <w:top w:val="nil"/>
              <w:left w:val="nil"/>
              <w:bottom w:val="single" w:sz="8" w:space="0" w:color="auto"/>
              <w:right w:val="single" w:sz="8" w:space="0" w:color="auto"/>
            </w:tcBorders>
            <w:shd w:val="clear" w:color="000000" w:fill="EDEDED"/>
            <w:noWrap/>
            <w:vAlign w:val="center"/>
            <w:hideMark/>
          </w:tcPr>
          <w:p w14:paraId="4B17C714"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5.937</w:t>
            </w:r>
          </w:p>
        </w:tc>
        <w:tc>
          <w:tcPr>
            <w:tcW w:w="567" w:type="dxa"/>
            <w:tcBorders>
              <w:top w:val="nil"/>
              <w:left w:val="nil"/>
              <w:bottom w:val="single" w:sz="8" w:space="0" w:color="auto"/>
              <w:right w:val="single" w:sz="8" w:space="0" w:color="auto"/>
            </w:tcBorders>
            <w:shd w:val="clear" w:color="000000" w:fill="EDEDED"/>
            <w:noWrap/>
            <w:vAlign w:val="center"/>
            <w:hideMark/>
          </w:tcPr>
          <w:p w14:paraId="6A3D1E1C"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6.266</w:t>
            </w:r>
          </w:p>
        </w:tc>
        <w:tc>
          <w:tcPr>
            <w:tcW w:w="567" w:type="dxa"/>
            <w:tcBorders>
              <w:top w:val="nil"/>
              <w:left w:val="nil"/>
              <w:bottom w:val="single" w:sz="8" w:space="0" w:color="auto"/>
              <w:right w:val="single" w:sz="8" w:space="0" w:color="auto"/>
            </w:tcBorders>
            <w:shd w:val="clear" w:color="000000" w:fill="EDEDED"/>
            <w:noWrap/>
            <w:vAlign w:val="center"/>
            <w:hideMark/>
          </w:tcPr>
          <w:p w14:paraId="45B8FBD4"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6.256</w:t>
            </w:r>
          </w:p>
        </w:tc>
        <w:tc>
          <w:tcPr>
            <w:tcW w:w="567" w:type="dxa"/>
            <w:tcBorders>
              <w:top w:val="nil"/>
              <w:left w:val="nil"/>
              <w:bottom w:val="single" w:sz="8" w:space="0" w:color="auto"/>
              <w:right w:val="single" w:sz="8" w:space="0" w:color="auto"/>
            </w:tcBorders>
            <w:shd w:val="clear" w:color="000000" w:fill="EDEDED"/>
            <w:noWrap/>
            <w:vAlign w:val="center"/>
            <w:hideMark/>
          </w:tcPr>
          <w:p w14:paraId="64A1BDD1"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6.753</w:t>
            </w:r>
          </w:p>
        </w:tc>
        <w:tc>
          <w:tcPr>
            <w:tcW w:w="567" w:type="dxa"/>
            <w:tcBorders>
              <w:top w:val="nil"/>
              <w:left w:val="nil"/>
              <w:bottom w:val="single" w:sz="8" w:space="0" w:color="auto"/>
              <w:right w:val="single" w:sz="8" w:space="0" w:color="auto"/>
            </w:tcBorders>
            <w:shd w:val="clear" w:color="000000" w:fill="EDEDED"/>
            <w:noWrap/>
            <w:vAlign w:val="center"/>
            <w:hideMark/>
          </w:tcPr>
          <w:p w14:paraId="2BFBF7E8"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6.771</w:t>
            </w:r>
          </w:p>
        </w:tc>
      </w:tr>
      <w:tr w:rsidR="005F4487" w:rsidRPr="007821E7" w14:paraId="1E10D769" w14:textId="77777777" w:rsidTr="007821E7">
        <w:trPr>
          <w:trHeight w:val="255"/>
          <w:jc w:val="center"/>
        </w:trPr>
        <w:tc>
          <w:tcPr>
            <w:tcW w:w="4101" w:type="dxa"/>
            <w:tcBorders>
              <w:top w:val="nil"/>
              <w:left w:val="single" w:sz="8" w:space="0" w:color="auto"/>
              <w:bottom w:val="single" w:sz="8" w:space="0" w:color="auto"/>
              <w:right w:val="single" w:sz="8" w:space="0" w:color="auto"/>
            </w:tcBorders>
            <w:shd w:val="clear" w:color="000000" w:fill="C9C9C9"/>
            <w:vAlign w:val="center"/>
            <w:hideMark/>
          </w:tcPr>
          <w:p w14:paraId="63DF4D7C" w14:textId="77777777" w:rsidR="005F4487" w:rsidRPr="007821E7" w:rsidRDefault="005F4487" w:rsidP="007821E7">
            <w:pPr>
              <w:spacing w:after="0" w:line="240" w:lineRule="auto"/>
              <w:rPr>
                <w:rFonts w:ascii="Myriad Pro" w:hAnsi="Myriad Pro"/>
                <w:color w:val="000000"/>
                <w:sz w:val="14"/>
                <w:szCs w:val="14"/>
                <w:lang w:eastAsia="es-MX"/>
              </w:rPr>
            </w:pPr>
            <w:r w:rsidRPr="007821E7">
              <w:rPr>
                <w:rFonts w:ascii="Myriad Pro" w:hAnsi="Myriad Pro"/>
                <w:color w:val="000000"/>
                <w:sz w:val="14"/>
                <w:szCs w:val="14"/>
                <w:lang w:eastAsia="es-MX"/>
              </w:rPr>
              <w:t>Tasa de crecimiento de la productividad laboral</w:t>
            </w:r>
          </w:p>
        </w:tc>
        <w:tc>
          <w:tcPr>
            <w:tcW w:w="1134" w:type="dxa"/>
            <w:tcBorders>
              <w:top w:val="nil"/>
              <w:left w:val="nil"/>
              <w:bottom w:val="single" w:sz="8" w:space="0" w:color="auto"/>
              <w:right w:val="single" w:sz="8" w:space="0" w:color="auto"/>
            </w:tcBorders>
            <w:shd w:val="clear" w:color="000000" w:fill="C9C9C9"/>
            <w:vAlign w:val="center"/>
            <w:hideMark/>
          </w:tcPr>
          <w:p w14:paraId="08AC72AE"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México ¿Cómo vamos?</w:t>
            </w:r>
          </w:p>
        </w:tc>
        <w:tc>
          <w:tcPr>
            <w:tcW w:w="567" w:type="dxa"/>
            <w:tcBorders>
              <w:top w:val="nil"/>
              <w:left w:val="nil"/>
              <w:bottom w:val="single" w:sz="8" w:space="0" w:color="auto"/>
              <w:right w:val="single" w:sz="8" w:space="0" w:color="auto"/>
            </w:tcBorders>
            <w:shd w:val="clear" w:color="000000" w:fill="C9C9C9"/>
            <w:vAlign w:val="center"/>
            <w:hideMark/>
          </w:tcPr>
          <w:p w14:paraId="5AB82E83"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5</w:t>
            </w:r>
          </w:p>
        </w:tc>
        <w:tc>
          <w:tcPr>
            <w:tcW w:w="709" w:type="dxa"/>
            <w:tcBorders>
              <w:top w:val="nil"/>
              <w:left w:val="nil"/>
              <w:bottom w:val="single" w:sz="8" w:space="0" w:color="auto"/>
              <w:right w:val="single" w:sz="8" w:space="0" w:color="auto"/>
            </w:tcBorders>
            <w:shd w:val="clear" w:color="000000" w:fill="C9C9C9"/>
            <w:vAlign w:val="center"/>
            <w:hideMark/>
          </w:tcPr>
          <w:p w14:paraId="66DD455C"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6.6</w:t>
            </w:r>
          </w:p>
        </w:tc>
        <w:tc>
          <w:tcPr>
            <w:tcW w:w="1134" w:type="dxa"/>
            <w:tcBorders>
              <w:top w:val="nil"/>
              <w:left w:val="nil"/>
              <w:bottom w:val="single" w:sz="8" w:space="0" w:color="auto"/>
              <w:right w:val="single" w:sz="8" w:space="0" w:color="auto"/>
            </w:tcBorders>
            <w:shd w:val="clear" w:color="000000" w:fill="C9C9C9"/>
            <w:vAlign w:val="center"/>
            <w:hideMark/>
          </w:tcPr>
          <w:p w14:paraId="51BAB83B"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Tasa</w:t>
            </w:r>
          </w:p>
        </w:tc>
        <w:tc>
          <w:tcPr>
            <w:tcW w:w="567" w:type="dxa"/>
            <w:tcBorders>
              <w:top w:val="nil"/>
              <w:left w:val="nil"/>
              <w:bottom w:val="single" w:sz="8" w:space="0" w:color="auto"/>
              <w:right w:val="single" w:sz="8" w:space="0" w:color="auto"/>
            </w:tcBorders>
            <w:shd w:val="clear" w:color="000000" w:fill="C9C9C9"/>
            <w:noWrap/>
            <w:vAlign w:val="center"/>
            <w:hideMark/>
          </w:tcPr>
          <w:p w14:paraId="033A9929"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w:t>
            </w:r>
          </w:p>
        </w:tc>
        <w:tc>
          <w:tcPr>
            <w:tcW w:w="567" w:type="dxa"/>
            <w:tcBorders>
              <w:top w:val="nil"/>
              <w:left w:val="nil"/>
              <w:bottom w:val="single" w:sz="8" w:space="0" w:color="auto"/>
              <w:right w:val="single" w:sz="8" w:space="0" w:color="auto"/>
            </w:tcBorders>
            <w:shd w:val="clear" w:color="000000" w:fill="C9C9C9"/>
            <w:noWrap/>
            <w:vAlign w:val="center"/>
            <w:hideMark/>
          </w:tcPr>
          <w:p w14:paraId="7A1278AE"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w:t>
            </w:r>
          </w:p>
        </w:tc>
        <w:tc>
          <w:tcPr>
            <w:tcW w:w="567" w:type="dxa"/>
            <w:tcBorders>
              <w:top w:val="nil"/>
              <w:left w:val="nil"/>
              <w:bottom w:val="single" w:sz="8" w:space="0" w:color="auto"/>
              <w:right w:val="single" w:sz="8" w:space="0" w:color="auto"/>
            </w:tcBorders>
            <w:shd w:val="clear" w:color="000000" w:fill="C9C9C9"/>
            <w:noWrap/>
            <w:vAlign w:val="center"/>
            <w:hideMark/>
          </w:tcPr>
          <w:p w14:paraId="31ACB3A9"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w:t>
            </w:r>
          </w:p>
        </w:tc>
        <w:tc>
          <w:tcPr>
            <w:tcW w:w="567" w:type="dxa"/>
            <w:tcBorders>
              <w:top w:val="nil"/>
              <w:left w:val="nil"/>
              <w:bottom w:val="single" w:sz="8" w:space="0" w:color="auto"/>
              <w:right w:val="single" w:sz="8" w:space="0" w:color="auto"/>
            </w:tcBorders>
            <w:shd w:val="clear" w:color="000000" w:fill="C9C9C9"/>
            <w:noWrap/>
            <w:vAlign w:val="center"/>
            <w:hideMark/>
          </w:tcPr>
          <w:p w14:paraId="49751BF5"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w:t>
            </w:r>
          </w:p>
        </w:tc>
        <w:tc>
          <w:tcPr>
            <w:tcW w:w="567" w:type="dxa"/>
            <w:tcBorders>
              <w:top w:val="nil"/>
              <w:left w:val="nil"/>
              <w:bottom w:val="single" w:sz="8" w:space="0" w:color="auto"/>
              <w:right w:val="single" w:sz="8" w:space="0" w:color="auto"/>
            </w:tcBorders>
            <w:shd w:val="clear" w:color="000000" w:fill="C9C9C9"/>
            <w:noWrap/>
            <w:vAlign w:val="center"/>
            <w:hideMark/>
          </w:tcPr>
          <w:p w14:paraId="2CBE5D5F"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89.7</w:t>
            </w:r>
          </w:p>
        </w:tc>
      </w:tr>
      <w:tr w:rsidR="005F4487" w:rsidRPr="007821E7" w14:paraId="3F5EFDBA" w14:textId="77777777" w:rsidTr="007821E7">
        <w:trPr>
          <w:trHeight w:val="67"/>
          <w:jc w:val="center"/>
        </w:trPr>
        <w:tc>
          <w:tcPr>
            <w:tcW w:w="4101" w:type="dxa"/>
            <w:tcBorders>
              <w:top w:val="nil"/>
              <w:left w:val="single" w:sz="8" w:space="0" w:color="auto"/>
              <w:bottom w:val="single" w:sz="8" w:space="0" w:color="auto"/>
              <w:right w:val="single" w:sz="8" w:space="0" w:color="auto"/>
            </w:tcBorders>
            <w:shd w:val="clear" w:color="000000" w:fill="EDEDED"/>
            <w:vAlign w:val="center"/>
            <w:hideMark/>
          </w:tcPr>
          <w:p w14:paraId="07249F14" w14:textId="77777777" w:rsidR="005F4487" w:rsidRPr="007821E7" w:rsidRDefault="005F4487" w:rsidP="007821E7">
            <w:pPr>
              <w:spacing w:after="0" w:line="240" w:lineRule="auto"/>
              <w:rPr>
                <w:rFonts w:ascii="Myriad Pro" w:hAnsi="Myriad Pro"/>
                <w:color w:val="000000"/>
                <w:sz w:val="14"/>
                <w:szCs w:val="14"/>
                <w:lang w:eastAsia="es-MX"/>
              </w:rPr>
            </w:pPr>
            <w:r w:rsidRPr="007821E7">
              <w:rPr>
                <w:rFonts w:ascii="Myriad Pro" w:hAnsi="Myriad Pro"/>
                <w:color w:val="000000"/>
                <w:sz w:val="14"/>
                <w:szCs w:val="14"/>
                <w:lang w:eastAsia="es-MX"/>
              </w:rPr>
              <w:t xml:space="preserve">   Inversión extranjera directa</w:t>
            </w:r>
          </w:p>
        </w:tc>
        <w:tc>
          <w:tcPr>
            <w:tcW w:w="1134" w:type="dxa"/>
            <w:tcBorders>
              <w:top w:val="nil"/>
              <w:left w:val="nil"/>
              <w:bottom w:val="single" w:sz="8" w:space="0" w:color="auto"/>
              <w:right w:val="single" w:sz="8" w:space="0" w:color="auto"/>
            </w:tcBorders>
            <w:shd w:val="clear" w:color="000000" w:fill="EDEDED"/>
            <w:vAlign w:val="center"/>
            <w:hideMark/>
          </w:tcPr>
          <w:p w14:paraId="22F78421"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CEFP / SE</w:t>
            </w:r>
          </w:p>
        </w:tc>
        <w:tc>
          <w:tcPr>
            <w:tcW w:w="567" w:type="dxa"/>
            <w:tcBorders>
              <w:top w:val="nil"/>
              <w:left w:val="nil"/>
              <w:bottom w:val="single" w:sz="8" w:space="0" w:color="auto"/>
              <w:right w:val="single" w:sz="8" w:space="0" w:color="auto"/>
            </w:tcBorders>
            <w:shd w:val="clear" w:color="000000" w:fill="EDEDED"/>
            <w:vAlign w:val="center"/>
            <w:hideMark/>
          </w:tcPr>
          <w:p w14:paraId="0C94B2DE"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22</w:t>
            </w:r>
          </w:p>
        </w:tc>
        <w:tc>
          <w:tcPr>
            <w:tcW w:w="709" w:type="dxa"/>
            <w:tcBorders>
              <w:top w:val="nil"/>
              <w:left w:val="nil"/>
              <w:bottom w:val="single" w:sz="8" w:space="0" w:color="auto"/>
              <w:right w:val="single" w:sz="8" w:space="0" w:color="auto"/>
            </w:tcBorders>
            <w:shd w:val="clear" w:color="000000" w:fill="EDEDED"/>
            <w:vAlign w:val="center"/>
            <w:hideMark/>
          </w:tcPr>
          <w:p w14:paraId="3F9EB010"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886.9</w:t>
            </w:r>
          </w:p>
        </w:tc>
        <w:tc>
          <w:tcPr>
            <w:tcW w:w="1134" w:type="dxa"/>
            <w:tcBorders>
              <w:top w:val="nil"/>
              <w:left w:val="nil"/>
              <w:bottom w:val="single" w:sz="8" w:space="0" w:color="auto"/>
              <w:right w:val="single" w:sz="8" w:space="0" w:color="auto"/>
            </w:tcBorders>
            <w:shd w:val="clear" w:color="000000" w:fill="EDEDED"/>
            <w:vAlign w:val="center"/>
            <w:hideMark/>
          </w:tcPr>
          <w:p w14:paraId="45D51F3E"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Millones de dólares</w:t>
            </w:r>
          </w:p>
        </w:tc>
        <w:tc>
          <w:tcPr>
            <w:tcW w:w="567" w:type="dxa"/>
            <w:tcBorders>
              <w:top w:val="nil"/>
              <w:left w:val="nil"/>
              <w:bottom w:val="single" w:sz="8" w:space="0" w:color="auto"/>
              <w:right w:val="single" w:sz="8" w:space="0" w:color="auto"/>
            </w:tcBorders>
            <w:shd w:val="clear" w:color="000000" w:fill="EDEDED"/>
            <w:noWrap/>
            <w:vAlign w:val="center"/>
            <w:hideMark/>
          </w:tcPr>
          <w:p w14:paraId="1C1C67AA"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157.2</w:t>
            </w:r>
          </w:p>
        </w:tc>
        <w:tc>
          <w:tcPr>
            <w:tcW w:w="567" w:type="dxa"/>
            <w:tcBorders>
              <w:top w:val="nil"/>
              <w:left w:val="nil"/>
              <w:bottom w:val="single" w:sz="8" w:space="0" w:color="auto"/>
              <w:right w:val="single" w:sz="8" w:space="0" w:color="auto"/>
            </w:tcBorders>
            <w:shd w:val="clear" w:color="000000" w:fill="EDEDED"/>
            <w:noWrap/>
            <w:vAlign w:val="center"/>
            <w:hideMark/>
          </w:tcPr>
          <w:p w14:paraId="08C1ABF2"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150.4</w:t>
            </w:r>
          </w:p>
        </w:tc>
        <w:tc>
          <w:tcPr>
            <w:tcW w:w="567" w:type="dxa"/>
            <w:tcBorders>
              <w:top w:val="nil"/>
              <w:left w:val="nil"/>
              <w:bottom w:val="single" w:sz="8" w:space="0" w:color="auto"/>
              <w:right w:val="single" w:sz="8" w:space="0" w:color="auto"/>
            </w:tcBorders>
            <w:shd w:val="clear" w:color="000000" w:fill="EDEDED"/>
            <w:noWrap/>
            <w:vAlign w:val="center"/>
            <w:hideMark/>
          </w:tcPr>
          <w:p w14:paraId="08EE0576"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331.5</w:t>
            </w:r>
          </w:p>
        </w:tc>
        <w:tc>
          <w:tcPr>
            <w:tcW w:w="567" w:type="dxa"/>
            <w:tcBorders>
              <w:top w:val="nil"/>
              <w:left w:val="nil"/>
              <w:bottom w:val="single" w:sz="8" w:space="0" w:color="auto"/>
              <w:right w:val="single" w:sz="8" w:space="0" w:color="auto"/>
            </w:tcBorders>
            <w:shd w:val="clear" w:color="000000" w:fill="EDEDED"/>
            <w:noWrap/>
            <w:vAlign w:val="center"/>
            <w:hideMark/>
          </w:tcPr>
          <w:p w14:paraId="2E54293B"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2,247.2</w:t>
            </w:r>
          </w:p>
        </w:tc>
        <w:tc>
          <w:tcPr>
            <w:tcW w:w="567" w:type="dxa"/>
            <w:tcBorders>
              <w:top w:val="nil"/>
              <w:left w:val="nil"/>
              <w:bottom w:val="single" w:sz="8" w:space="0" w:color="auto"/>
              <w:right w:val="single" w:sz="8" w:space="0" w:color="auto"/>
            </w:tcBorders>
            <w:shd w:val="clear" w:color="000000" w:fill="EDEDED"/>
            <w:noWrap/>
            <w:vAlign w:val="center"/>
            <w:hideMark/>
          </w:tcPr>
          <w:p w14:paraId="6DBE7A19"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139.2</w:t>
            </w:r>
          </w:p>
        </w:tc>
      </w:tr>
      <w:tr w:rsidR="005F4487" w:rsidRPr="007821E7" w14:paraId="00AFB81C" w14:textId="77777777" w:rsidTr="007821E7">
        <w:trPr>
          <w:trHeight w:val="110"/>
          <w:jc w:val="center"/>
        </w:trPr>
        <w:tc>
          <w:tcPr>
            <w:tcW w:w="4101" w:type="dxa"/>
            <w:tcBorders>
              <w:top w:val="nil"/>
              <w:left w:val="single" w:sz="8" w:space="0" w:color="auto"/>
              <w:bottom w:val="single" w:sz="8" w:space="0" w:color="auto"/>
              <w:right w:val="single" w:sz="8" w:space="0" w:color="auto"/>
            </w:tcBorders>
            <w:shd w:val="clear" w:color="000000" w:fill="C9C9C9"/>
            <w:vAlign w:val="center"/>
            <w:hideMark/>
          </w:tcPr>
          <w:p w14:paraId="3A38B119" w14:textId="77777777" w:rsidR="005F4487" w:rsidRPr="007821E7" w:rsidRDefault="005F4487" w:rsidP="007821E7">
            <w:pPr>
              <w:spacing w:after="0" w:line="240" w:lineRule="auto"/>
              <w:rPr>
                <w:rFonts w:ascii="Myriad Pro" w:hAnsi="Myriad Pro"/>
                <w:color w:val="000000"/>
                <w:sz w:val="14"/>
                <w:szCs w:val="14"/>
                <w:lang w:eastAsia="es-MX"/>
              </w:rPr>
            </w:pPr>
            <w:r w:rsidRPr="007821E7">
              <w:rPr>
                <w:rFonts w:ascii="Myriad Pro" w:hAnsi="Myriad Pro"/>
                <w:color w:val="000000"/>
                <w:sz w:val="14"/>
                <w:szCs w:val="14"/>
                <w:lang w:eastAsia="es-MX"/>
              </w:rPr>
              <w:t>Índice de la Tendencia Laboral de la Pobreza (ITLP)</w:t>
            </w:r>
          </w:p>
        </w:tc>
        <w:tc>
          <w:tcPr>
            <w:tcW w:w="1134" w:type="dxa"/>
            <w:tcBorders>
              <w:top w:val="nil"/>
              <w:left w:val="nil"/>
              <w:bottom w:val="single" w:sz="8" w:space="0" w:color="auto"/>
              <w:right w:val="single" w:sz="8" w:space="0" w:color="auto"/>
            </w:tcBorders>
            <w:shd w:val="clear" w:color="000000" w:fill="C9C9C9"/>
            <w:vAlign w:val="center"/>
            <w:hideMark/>
          </w:tcPr>
          <w:p w14:paraId="2BEECE78"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CONEVAL</w:t>
            </w:r>
          </w:p>
        </w:tc>
        <w:tc>
          <w:tcPr>
            <w:tcW w:w="567" w:type="dxa"/>
            <w:tcBorders>
              <w:top w:val="nil"/>
              <w:left w:val="nil"/>
              <w:bottom w:val="single" w:sz="8" w:space="0" w:color="auto"/>
              <w:right w:val="single" w:sz="8" w:space="0" w:color="auto"/>
            </w:tcBorders>
            <w:shd w:val="clear" w:color="000000" w:fill="C9C9C9"/>
            <w:vAlign w:val="center"/>
            <w:hideMark/>
          </w:tcPr>
          <w:p w14:paraId="0373A8E4"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16</w:t>
            </w:r>
          </w:p>
        </w:tc>
        <w:tc>
          <w:tcPr>
            <w:tcW w:w="709" w:type="dxa"/>
            <w:tcBorders>
              <w:top w:val="nil"/>
              <w:left w:val="nil"/>
              <w:bottom w:val="single" w:sz="8" w:space="0" w:color="auto"/>
              <w:right w:val="single" w:sz="8" w:space="0" w:color="auto"/>
            </w:tcBorders>
            <w:shd w:val="clear" w:color="000000" w:fill="C9C9C9"/>
            <w:vAlign w:val="center"/>
            <w:hideMark/>
          </w:tcPr>
          <w:p w14:paraId="0722D766"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1,142</w:t>
            </w:r>
          </w:p>
        </w:tc>
        <w:tc>
          <w:tcPr>
            <w:tcW w:w="1134" w:type="dxa"/>
            <w:tcBorders>
              <w:top w:val="nil"/>
              <w:left w:val="nil"/>
              <w:bottom w:val="single" w:sz="8" w:space="0" w:color="auto"/>
              <w:right w:val="single" w:sz="8" w:space="0" w:color="auto"/>
            </w:tcBorders>
            <w:shd w:val="clear" w:color="000000" w:fill="C9C9C9"/>
            <w:vAlign w:val="center"/>
            <w:hideMark/>
          </w:tcPr>
          <w:p w14:paraId="5EAE09BE"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Índice</w:t>
            </w:r>
          </w:p>
        </w:tc>
        <w:tc>
          <w:tcPr>
            <w:tcW w:w="567" w:type="dxa"/>
            <w:tcBorders>
              <w:top w:val="nil"/>
              <w:left w:val="nil"/>
              <w:bottom w:val="single" w:sz="8" w:space="0" w:color="auto"/>
              <w:right w:val="single" w:sz="8" w:space="0" w:color="auto"/>
            </w:tcBorders>
            <w:shd w:val="clear" w:color="000000" w:fill="C9C9C9"/>
            <w:noWrap/>
            <w:vAlign w:val="center"/>
            <w:hideMark/>
          </w:tcPr>
          <w:p w14:paraId="55B8A5E0"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1,030</w:t>
            </w:r>
          </w:p>
        </w:tc>
        <w:tc>
          <w:tcPr>
            <w:tcW w:w="567" w:type="dxa"/>
            <w:tcBorders>
              <w:top w:val="nil"/>
              <w:left w:val="nil"/>
              <w:bottom w:val="single" w:sz="8" w:space="0" w:color="auto"/>
              <w:right w:val="single" w:sz="8" w:space="0" w:color="auto"/>
            </w:tcBorders>
            <w:shd w:val="clear" w:color="000000" w:fill="C9C9C9"/>
            <w:noWrap/>
            <w:vAlign w:val="center"/>
            <w:hideMark/>
          </w:tcPr>
          <w:p w14:paraId="27C052C6"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0.989</w:t>
            </w:r>
          </w:p>
        </w:tc>
        <w:tc>
          <w:tcPr>
            <w:tcW w:w="567" w:type="dxa"/>
            <w:tcBorders>
              <w:top w:val="nil"/>
              <w:left w:val="nil"/>
              <w:bottom w:val="single" w:sz="8" w:space="0" w:color="auto"/>
              <w:right w:val="single" w:sz="8" w:space="0" w:color="auto"/>
            </w:tcBorders>
            <w:shd w:val="clear" w:color="000000" w:fill="C9C9C9"/>
            <w:noWrap/>
            <w:vAlign w:val="center"/>
            <w:hideMark/>
          </w:tcPr>
          <w:p w14:paraId="18344BF3"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1,054</w:t>
            </w:r>
          </w:p>
        </w:tc>
        <w:tc>
          <w:tcPr>
            <w:tcW w:w="567" w:type="dxa"/>
            <w:tcBorders>
              <w:top w:val="nil"/>
              <w:left w:val="nil"/>
              <w:bottom w:val="single" w:sz="8" w:space="0" w:color="auto"/>
              <w:right w:val="single" w:sz="8" w:space="0" w:color="auto"/>
            </w:tcBorders>
            <w:shd w:val="clear" w:color="000000" w:fill="C9C9C9"/>
            <w:noWrap/>
            <w:vAlign w:val="center"/>
            <w:hideMark/>
          </w:tcPr>
          <w:p w14:paraId="295270D6"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1,064</w:t>
            </w:r>
          </w:p>
        </w:tc>
        <w:tc>
          <w:tcPr>
            <w:tcW w:w="567" w:type="dxa"/>
            <w:tcBorders>
              <w:top w:val="nil"/>
              <w:left w:val="nil"/>
              <w:bottom w:val="single" w:sz="8" w:space="0" w:color="auto"/>
              <w:right w:val="single" w:sz="8" w:space="0" w:color="auto"/>
            </w:tcBorders>
            <w:shd w:val="clear" w:color="000000" w:fill="C9C9C9"/>
            <w:noWrap/>
            <w:vAlign w:val="center"/>
            <w:hideMark/>
          </w:tcPr>
          <w:p w14:paraId="5ABF8720"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1,109</w:t>
            </w:r>
          </w:p>
        </w:tc>
      </w:tr>
      <w:tr w:rsidR="005F4487" w:rsidRPr="007821E7" w14:paraId="58179D44" w14:textId="77777777" w:rsidTr="007821E7">
        <w:trPr>
          <w:trHeight w:val="270"/>
          <w:jc w:val="center"/>
        </w:trPr>
        <w:tc>
          <w:tcPr>
            <w:tcW w:w="4101" w:type="dxa"/>
            <w:tcBorders>
              <w:top w:val="nil"/>
              <w:left w:val="single" w:sz="8" w:space="0" w:color="auto"/>
              <w:bottom w:val="single" w:sz="8" w:space="0" w:color="auto"/>
              <w:right w:val="single" w:sz="8" w:space="0" w:color="auto"/>
            </w:tcBorders>
            <w:shd w:val="clear" w:color="000000" w:fill="EDEDED"/>
            <w:vAlign w:val="center"/>
            <w:hideMark/>
          </w:tcPr>
          <w:p w14:paraId="7036C9B5" w14:textId="77777777" w:rsidR="005F4487" w:rsidRPr="007821E7" w:rsidRDefault="005F4487" w:rsidP="007821E7">
            <w:pPr>
              <w:spacing w:after="0" w:line="240" w:lineRule="auto"/>
              <w:rPr>
                <w:rFonts w:ascii="Myriad Pro" w:hAnsi="Myriad Pro"/>
                <w:color w:val="000000"/>
                <w:sz w:val="14"/>
                <w:szCs w:val="14"/>
                <w:lang w:eastAsia="es-MX"/>
              </w:rPr>
            </w:pPr>
            <w:r w:rsidRPr="007821E7">
              <w:rPr>
                <w:rFonts w:ascii="Myriad Pro" w:hAnsi="Myriad Pro"/>
                <w:color w:val="000000"/>
                <w:sz w:val="14"/>
                <w:szCs w:val="14"/>
                <w:lang w:eastAsia="es-MX"/>
              </w:rPr>
              <w:t>Índice de Desempeño Financiero</w:t>
            </w:r>
          </w:p>
        </w:tc>
        <w:tc>
          <w:tcPr>
            <w:tcW w:w="1134" w:type="dxa"/>
            <w:tcBorders>
              <w:top w:val="nil"/>
              <w:left w:val="nil"/>
              <w:bottom w:val="single" w:sz="8" w:space="0" w:color="auto"/>
              <w:right w:val="single" w:sz="8" w:space="0" w:color="auto"/>
            </w:tcBorders>
            <w:shd w:val="clear" w:color="000000" w:fill="EDEDED"/>
            <w:vAlign w:val="center"/>
            <w:hideMark/>
          </w:tcPr>
          <w:p w14:paraId="00E52629" w14:textId="77777777" w:rsidR="005F4487" w:rsidRPr="007821E7" w:rsidRDefault="005F4487" w:rsidP="007821E7">
            <w:pPr>
              <w:spacing w:after="0" w:line="240" w:lineRule="auto"/>
              <w:jc w:val="center"/>
              <w:rPr>
                <w:rFonts w:ascii="Myriad Pro" w:hAnsi="Myriad Pro"/>
                <w:color w:val="000000"/>
                <w:sz w:val="14"/>
                <w:szCs w:val="14"/>
                <w:lang w:eastAsia="es-MX"/>
              </w:rPr>
            </w:pPr>
            <w:proofErr w:type="spellStart"/>
            <w:r w:rsidRPr="007821E7">
              <w:rPr>
                <w:rFonts w:ascii="Myriad Pro" w:hAnsi="Myriad Pro"/>
                <w:color w:val="000000"/>
                <w:sz w:val="14"/>
                <w:szCs w:val="14"/>
                <w:lang w:eastAsia="es-MX"/>
              </w:rPr>
              <w:t>Aregional</w:t>
            </w:r>
            <w:proofErr w:type="spellEnd"/>
          </w:p>
        </w:tc>
        <w:tc>
          <w:tcPr>
            <w:tcW w:w="567" w:type="dxa"/>
            <w:tcBorders>
              <w:top w:val="nil"/>
              <w:left w:val="nil"/>
              <w:bottom w:val="single" w:sz="8" w:space="0" w:color="auto"/>
              <w:right w:val="single" w:sz="8" w:space="0" w:color="auto"/>
            </w:tcBorders>
            <w:shd w:val="clear" w:color="000000" w:fill="EDEDED"/>
            <w:vAlign w:val="center"/>
            <w:hideMark/>
          </w:tcPr>
          <w:p w14:paraId="71F5A638"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24</w:t>
            </w:r>
          </w:p>
        </w:tc>
        <w:tc>
          <w:tcPr>
            <w:tcW w:w="709" w:type="dxa"/>
            <w:tcBorders>
              <w:top w:val="nil"/>
              <w:left w:val="nil"/>
              <w:bottom w:val="single" w:sz="8" w:space="0" w:color="auto"/>
              <w:right w:val="single" w:sz="8" w:space="0" w:color="auto"/>
            </w:tcBorders>
            <w:shd w:val="clear" w:color="000000" w:fill="EDEDED"/>
            <w:vAlign w:val="center"/>
            <w:hideMark/>
          </w:tcPr>
          <w:p w14:paraId="77F69C71"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62.35</w:t>
            </w:r>
          </w:p>
        </w:tc>
        <w:tc>
          <w:tcPr>
            <w:tcW w:w="1134" w:type="dxa"/>
            <w:tcBorders>
              <w:top w:val="nil"/>
              <w:left w:val="nil"/>
              <w:bottom w:val="single" w:sz="8" w:space="0" w:color="auto"/>
              <w:right w:val="single" w:sz="8" w:space="0" w:color="auto"/>
            </w:tcBorders>
            <w:shd w:val="clear" w:color="000000" w:fill="EDEDED"/>
            <w:vAlign w:val="center"/>
            <w:hideMark/>
          </w:tcPr>
          <w:p w14:paraId="4ADC8839"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Índice</w:t>
            </w:r>
          </w:p>
        </w:tc>
        <w:tc>
          <w:tcPr>
            <w:tcW w:w="567" w:type="dxa"/>
            <w:tcBorders>
              <w:top w:val="nil"/>
              <w:left w:val="nil"/>
              <w:bottom w:val="single" w:sz="8" w:space="0" w:color="auto"/>
              <w:right w:val="single" w:sz="8" w:space="0" w:color="auto"/>
            </w:tcBorders>
            <w:shd w:val="clear" w:color="000000" w:fill="EDEDED"/>
            <w:noWrap/>
            <w:vAlign w:val="center"/>
            <w:hideMark/>
          </w:tcPr>
          <w:p w14:paraId="0962BF36"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w:t>
            </w:r>
          </w:p>
        </w:tc>
        <w:tc>
          <w:tcPr>
            <w:tcW w:w="567" w:type="dxa"/>
            <w:tcBorders>
              <w:top w:val="nil"/>
              <w:left w:val="nil"/>
              <w:bottom w:val="single" w:sz="8" w:space="0" w:color="auto"/>
              <w:right w:val="single" w:sz="8" w:space="0" w:color="auto"/>
            </w:tcBorders>
            <w:shd w:val="clear" w:color="000000" w:fill="EDEDED"/>
            <w:noWrap/>
            <w:vAlign w:val="center"/>
            <w:hideMark/>
          </w:tcPr>
          <w:p w14:paraId="2C4E3F8E"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w:t>
            </w:r>
          </w:p>
        </w:tc>
        <w:tc>
          <w:tcPr>
            <w:tcW w:w="567" w:type="dxa"/>
            <w:tcBorders>
              <w:top w:val="nil"/>
              <w:left w:val="nil"/>
              <w:bottom w:val="single" w:sz="8" w:space="0" w:color="auto"/>
              <w:right w:val="single" w:sz="8" w:space="0" w:color="auto"/>
            </w:tcBorders>
            <w:shd w:val="clear" w:color="000000" w:fill="EDEDED"/>
            <w:noWrap/>
            <w:vAlign w:val="center"/>
            <w:hideMark/>
          </w:tcPr>
          <w:p w14:paraId="50E8E242"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54.20</w:t>
            </w:r>
          </w:p>
        </w:tc>
        <w:tc>
          <w:tcPr>
            <w:tcW w:w="567" w:type="dxa"/>
            <w:tcBorders>
              <w:top w:val="nil"/>
              <w:left w:val="nil"/>
              <w:bottom w:val="single" w:sz="8" w:space="0" w:color="auto"/>
              <w:right w:val="single" w:sz="8" w:space="0" w:color="auto"/>
            </w:tcBorders>
            <w:shd w:val="clear" w:color="000000" w:fill="EDEDED"/>
            <w:noWrap/>
            <w:vAlign w:val="center"/>
            <w:hideMark/>
          </w:tcPr>
          <w:p w14:paraId="113CD63F"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54.20</w:t>
            </w:r>
          </w:p>
        </w:tc>
        <w:tc>
          <w:tcPr>
            <w:tcW w:w="567" w:type="dxa"/>
            <w:tcBorders>
              <w:top w:val="nil"/>
              <w:left w:val="nil"/>
              <w:bottom w:val="single" w:sz="8" w:space="0" w:color="auto"/>
              <w:right w:val="single" w:sz="8" w:space="0" w:color="auto"/>
            </w:tcBorders>
            <w:shd w:val="clear" w:color="000000" w:fill="EDEDED"/>
            <w:noWrap/>
            <w:vAlign w:val="center"/>
            <w:hideMark/>
          </w:tcPr>
          <w:p w14:paraId="65F3E150"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55.80</w:t>
            </w:r>
          </w:p>
        </w:tc>
      </w:tr>
      <w:tr w:rsidR="005F4487" w:rsidRPr="007821E7" w14:paraId="2BFFAE92" w14:textId="77777777" w:rsidTr="007821E7">
        <w:trPr>
          <w:trHeight w:val="201"/>
          <w:jc w:val="center"/>
        </w:trPr>
        <w:tc>
          <w:tcPr>
            <w:tcW w:w="4101" w:type="dxa"/>
            <w:tcBorders>
              <w:top w:val="nil"/>
              <w:left w:val="single" w:sz="8" w:space="0" w:color="auto"/>
              <w:bottom w:val="single" w:sz="8" w:space="0" w:color="auto"/>
              <w:right w:val="single" w:sz="8" w:space="0" w:color="auto"/>
            </w:tcBorders>
            <w:shd w:val="clear" w:color="000000" w:fill="C9C9C9"/>
            <w:vAlign w:val="center"/>
            <w:hideMark/>
          </w:tcPr>
          <w:p w14:paraId="1CF9266D" w14:textId="77777777" w:rsidR="005F4487" w:rsidRPr="007821E7" w:rsidRDefault="005F4487" w:rsidP="007821E7">
            <w:pPr>
              <w:spacing w:after="0" w:line="240" w:lineRule="auto"/>
              <w:rPr>
                <w:rFonts w:ascii="Myriad Pro" w:hAnsi="Myriad Pro"/>
                <w:color w:val="000000"/>
                <w:sz w:val="14"/>
                <w:szCs w:val="14"/>
                <w:lang w:eastAsia="es-MX"/>
              </w:rPr>
            </w:pPr>
            <w:r w:rsidRPr="007821E7">
              <w:rPr>
                <w:rFonts w:ascii="Myriad Pro" w:hAnsi="Myriad Pro"/>
                <w:color w:val="000000"/>
                <w:sz w:val="14"/>
                <w:szCs w:val="14"/>
                <w:lang w:eastAsia="es-MX"/>
              </w:rPr>
              <w:t>Calificación crediticia de la deuda</w:t>
            </w:r>
          </w:p>
        </w:tc>
        <w:tc>
          <w:tcPr>
            <w:tcW w:w="1134" w:type="dxa"/>
            <w:tcBorders>
              <w:top w:val="nil"/>
              <w:left w:val="nil"/>
              <w:bottom w:val="single" w:sz="8" w:space="0" w:color="auto"/>
              <w:right w:val="single" w:sz="8" w:space="0" w:color="auto"/>
            </w:tcBorders>
            <w:shd w:val="clear" w:color="000000" w:fill="C9C9C9"/>
            <w:vAlign w:val="center"/>
            <w:hideMark/>
          </w:tcPr>
          <w:p w14:paraId="1D43EC95"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 xml:space="preserve">Agencia Calificadora </w:t>
            </w:r>
            <w:proofErr w:type="spellStart"/>
            <w:r w:rsidRPr="007821E7">
              <w:rPr>
                <w:rFonts w:ascii="Myriad Pro" w:hAnsi="Myriad Pro"/>
                <w:color w:val="000000"/>
                <w:sz w:val="14"/>
                <w:szCs w:val="14"/>
                <w:lang w:eastAsia="es-MX"/>
              </w:rPr>
              <w:t>Fitch</w:t>
            </w:r>
            <w:proofErr w:type="spellEnd"/>
            <w:r w:rsidRPr="007821E7">
              <w:rPr>
                <w:rFonts w:ascii="Myriad Pro" w:hAnsi="Myriad Pro"/>
                <w:color w:val="000000"/>
                <w:sz w:val="14"/>
                <w:szCs w:val="14"/>
                <w:lang w:eastAsia="es-MX"/>
              </w:rPr>
              <w:t xml:space="preserve"> Ratings</w:t>
            </w:r>
          </w:p>
        </w:tc>
        <w:tc>
          <w:tcPr>
            <w:tcW w:w="567" w:type="dxa"/>
            <w:tcBorders>
              <w:top w:val="nil"/>
              <w:left w:val="nil"/>
              <w:bottom w:val="single" w:sz="8" w:space="0" w:color="auto"/>
              <w:right w:val="single" w:sz="8" w:space="0" w:color="auto"/>
            </w:tcBorders>
            <w:shd w:val="clear" w:color="000000" w:fill="C9C9C9"/>
            <w:vAlign w:val="center"/>
            <w:hideMark/>
          </w:tcPr>
          <w:p w14:paraId="51D7C075"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NA</w:t>
            </w:r>
          </w:p>
        </w:tc>
        <w:tc>
          <w:tcPr>
            <w:tcW w:w="709" w:type="dxa"/>
            <w:tcBorders>
              <w:top w:val="nil"/>
              <w:left w:val="nil"/>
              <w:bottom w:val="single" w:sz="8" w:space="0" w:color="auto"/>
              <w:right w:val="single" w:sz="8" w:space="0" w:color="auto"/>
            </w:tcBorders>
            <w:shd w:val="clear" w:color="000000" w:fill="C9C9C9"/>
            <w:vAlign w:val="center"/>
            <w:hideMark/>
          </w:tcPr>
          <w:p w14:paraId="5CFF2869"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NA</w:t>
            </w:r>
          </w:p>
        </w:tc>
        <w:tc>
          <w:tcPr>
            <w:tcW w:w="1134" w:type="dxa"/>
            <w:tcBorders>
              <w:top w:val="nil"/>
              <w:left w:val="nil"/>
              <w:bottom w:val="single" w:sz="8" w:space="0" w:color="auto"/>
              <w:right w:val="single" w:sz="8" w:space="0" w:color="auto"/>
            </w:tcBorders>
            <w:shd w:val="clear" w:color="000000" w:fill="C9C9C9"/>
            <w:vAlign w:val="center"/>
            <w:hideMark/>
          </w:tcPr>
          <w:p w14:paraId="43BE312A"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Calificación</w:t>
            </w:r>
          </w:p>
        </w:tc>
        <w:tc>
          <w:tcPr>
            <w:tcW w:w="567" w:type="dxa"/>
            <w:tcBorders>
              <w:top w:val="nil"/>
              <w:left w:val="nil"/>
              <w:bottom w:val="single" w:sz="8" w:space="0" w:color="auto"/>
              <w:right w:val="single" w:sz="8" w:space="0" w:color="auto"/>
            </w:tcBorders>
            <w:shd w:val="clear" w:color="000000" w:fill="C9C9C9"/>
            <w:noWrap/>
            <w:vAlign w:val="center"/>
            <w:hideMark/>
          </w:tcPr>
          <w:p w14:paraId="7270FD1C"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 xml:space="preserve">BB+ </w:t>
            </w:r>
          </w:p>
        </w:tc>
        <w:tc>
          <w:tcPr>
            <w:tcW w:w="567" w:type="dxa"/>
            <w:tcBorders>
              <w:top w:val="nil"/>
              <w:left w:val="nil"/>
              <w:bottom w:val="single" w:sz="8" w:space="0" w:color="auto"/>
              <w:right w:val="single" w:sz="8" w:space="0" w:color="auto"/>
            </w:tcBorders>
            <w:shd w:val="clear" w:color="000000" w:fill="C9C9C9"/>
            <w:noWrap/>
            <w:vAlign w:val="center"/>
            <w:hideMark/>
          </w:tcPr>
          <w:p w14:paraId="73AB07BD"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BBB</w:t>
            </w:r>
          </w:p>
        </w:tc>
        <w:tc>
          <w:tcPr>
            <w:tcW w:w="567" w:type="dxa"/>
            <w:tcBorders>
              <w:top w:val="nil"/>
              <w:left w:val="nil"/>
              <w:bottom w:val="single" w:sz="8" w:space="0" w:color="auto"/>
              <w:right w:val="single" w:sz="8" w:space="0" w:color="auto"/>
            </w:tcBorders>
            <w:shd w:val="clear" w:color="000000" w:fill="C9C9C9"/>
            <w:noWrap/>
            <w:vAlign w:val="center"/>
            <w:hideMark/>
          </w:tcPr>
          <w:p w14:paraId="0354E582"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w:t>
            </w:r>
          </w:p>
        </w:tc>
        <w:tc>
          <w:tcPr>
            <w:tcW w:w="567" w:type="dxa"/>
            <w:tcBorders>
              <w:top w:val="nil"/>
              <w:left w:val="nil"/>
              <w:bottom w:val="single" w:sz="8" w:space="0" w:color="auto"/>
              <w:right w:val="single" w:sz="8" w:space="0" w:color="auto"/>
            </w:tcBorders>
            <w:shd w:val="clear" w:color="000000" w:fill="C9C9C9"/>
            <w:noWrap/>
            <w:vAlign w:val="center"/>
            <w:hideMark/>
          </w:tcPr>
          <w:p w14:paraId="6AF56BD7"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w:t>
            </w:r>
          </w:p>
        </w:tc>
        <w:tc>
          <w:tcPr>
            <w:tcW w:w="567" w:type="dxa"/>
            <w:tcBorders>
              <w:top w:val="nil"/>
              <w:left w:val="nil"/>
              <w:bottom w:val="single" w:sz="8" w:space="0" w:color="auto"/>
              <w:right w:val="single" w:sz="8" w:space="0" w:color="auto"/>
            </w:tcBorders>
            <w:shd w:val="clear" w:color="000000" w:fill="C9C9C9"/>
            <w:noWrap/>
            <w:vAlign w:val="center"/>
            <w:hideMark/>
          </w:tcPr>
          <w:p w14:paraId="6436F91D"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BBB-</w:t>
            </w:r>
          </w:p>
        </w:tc>
      </w:tr>
      <w:tr w:rsidR="005F4487" w:rsidRPr="007821E7" w14:paraId="06059DBA" w14:textId="77777777" w:rsidTr="007821E7">
        <w:trPr>
          <w:trHeight w:val="95"/>
          <w:jc w:val="center"/>
        </w:trPr>
        <w:tc>
          <w:tcPr>
            <w:tcW w:w="4101" w:type="dxa"/>
            <w:tcBorders>
              <w:top w:val="nil"/>
              <w:left w:val="single" w:sz="8" w:space="0" w:color="auto"/>
              <w:bottom w:val="single" w:sz="8" w:space="0" w:color="auto"/>
              <w:right w:val="single" w:sz="8" w:space="0" w:color="auto"/>
            </w:tcBorders>
            <w:shd w:val="clear" w:color="000000" w:fill="EDEDED"/>
            <w:vAlign w:val="center"/>
            <w:hideMark/>
          </w:tcPr>
          <w:p w14:paraId="0AD8D323" w14:textId="77777777" w:rsidR="005F4487" w:rsidRPr="007821E7" w:rsidRDefault="005F4487" w:rsidP="007821E7">
            <w:pPr>
              <w:spacing w:after="0" w:line="240" w:lineRule="auto"/>
              <w:rPr>
                <w:rFonts w:ascii="Myriad Pro" w:hAnsi="Myriad Pro"/>
                <w:color w:val="000000"/>
                <w:sz w:val="14"/>
                <w:szCs w:val="14"/>
                <w:lang w:eastAsia="es-MX"/>
              </w:rPr>
            </w:pPr>
            <w:r w:rsidRPr="007821E7">
              <w:rPr>
                <w:rFonts w:ascii="Myriad Pro" w:hAnsi="Myriad Pro"/>
                <w:color w:val="000000"/>
                <w:sz w:val="14"/>
                <w:szCs w:val="14"/>
                <w:lang w:eastAsia="es-MX"/>
              </w:rPr>
              <w:t>Deuda por entidad federativa</w:t>
            </w:r>
          </w:p>
        </w:tc>
        <w:tc>
          <w:tcPr>
            <w:tcW w:w="1134" w:type="dxa"/>
            <w:tcBorders>
              <w:top w:val="nil"/>
              <w:left w:val="nil"/>
              <w:bottom w:val="single" w:sz="8" w:space="0" w:color="auto"/>
              <w:right w:val="single" w:sz="8" w:space="0" w:color="auto"/>
            </w:tcBorders>
            <w:shd w:val="clear" w:color="000000" w:fill="EDEDED"/>
            <w:vAlign w:val="center"/>
            <w:hideMark/>
          </w:tcPr>
          <w:p w14:paraId="3B288CC1"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SHCP</w:t>
            </w:r>
          </w:p>
        </w:tc>
        <w:tc>
          <w:tcPr>
            <w:tcW w:w="567" w:type="dxa"/>
            <w:tcBorders>
              <w:top w:val="nil"/>
              <w:left w:val="nil"/>
              <w:bottom w:val="single" w:sz="8" w:space="0" w:color="auto"/>
              <w:right w:val="single" w:sz="8" w:space="0" w:color="auto"/>
            </w:tcBorders>
            <w:shd w:val="clear" w:color="000000" w:fill="EDEDED"/>
            <w:vAlign w:val="center"/>
            <w:hideMark/>
          </w:tcPr>
          <w:p w14:paraId="1DAC93F1"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10</w:t>
            </w:r>
          </w:p>
        </w:tc>
        <w:tc>
          <w:tcPr>
            <w:tcW w:w="709" w:type="dxa"/>
            <w:tcBorders>
              <w:top w:val="nil"/>
              <w:left w:val="nil"/>
              <w:bottom w:val="single" w:sz="8" w:space="0" w:color="auto"/>
              <w:right w:val="single" w:sz="8" w:space="0" w:color="auto"/>
            </w:tcBorders>
            <w:shd w:val="clear" w:color="000000" w:fill="EDEDED"/>
            <w:vAlign w:val="center"/>
            <w:hideMark/>
          </w:tcPr>
          <w:p w14:paraId="00B45780"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15.9</w:t>
            </w:r>
          </w:p>
        </w:tc>
        <w:tc>
          <w:tcPr>
            <w:tcW w:w="1134" w:type="dxa"/>
            <w:tcBorders>
              <w:top w:val="nil"/>
              <w:left w:val="nil"/>
              <w:bottom w:val="single" w:sz="8" w:space="0" w:color="auto"/>
              <w:right w:val="single" w:sz="8" w:space="0" w:color="auto"/>
            </w:tcBorders>
            <w:shd w:val="clear" w:color="000000" w:fill="EDEDED"/>
            <w:vAlign w:val="center"/>
            <w:hideMark/>
          </w:tcPr>
          <w:p w14:paraId="218D7FE6"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Miles de millones</w:t>
            </w:r>
          </w:p>
        </w:tc>
        <w:tc>
          <w:tcPr>
            <w:tcW w:w="567" w:type="dxa"/>
            <w:tcBorders>
              <w:top w:val="nil"/>
              <w:left w:val="nil"/>
              <w:bottom w:val="single" w:sz="8" w:space="0" w:color="auto"/>
              <w:right w:val="single" w:sz="8" w:space="0" w:color="auto"/>
            </w:tcBorders>
            <w:shd w:val="clear" w:color="000000" w:fill="EDEDED"/>
            <w:noWrap/>
            <w:vAlign w:val="center"/>
            <w:hideMark/>
          </w:tcPr>
          <w:p w14:paraId="4C706F73"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10.1</w:t>
            </w:r>
          </w:p>
        </w:tc>
        <w:tc>
          <w:tcPr>
            <w:tcW w:w="567" w:type="dxa"/>
            <w:tcBorders>
              <w:top w:val="nil"/>
              <w:left w:val="nil"/>
              <w:bottom w:val="single" w:sz="8" w:space="0" w:color="auto"/>
              <w:right w:val="single" w:sz="8" w:space="0" w:color="auto"/>
            </w:tcBorders>
            <w:shd w:val="clear" w:color="000000" w:fill="EDEDED"/>
            <w:noWrap/>
            <w:vAlign w:val="center"/>
            <w:hideMark/>
          </w:tcPr>
          <w:p w14:paraId="10706C67"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15.1</w:t>
            </w:r>
          </w:p>
        </w:tc>
        <w:tc>
          <w:tcPr>
            <w:tcW w:w="567" w:type="dxa"/>
            <w:tcBorders>
              <w:top w:val="nil"/>
              <w:left w:val="nil"/>
              <w:bottom w:val="single" w:sz="8" w:space="0" w:color="auto"/>
              <w:right w:val="single" w:sz="8" w:space="0" w:color="auto"/>
            </w:tcBorders>
            <w:shd w:val="clear" w:color="000000" w:fill="EDEDED"/>
            <w:noWrap/>
            <w:vAlign w:val="center"/>
            <w:hideMark/>
          </w:tcPr>
          <w:p w14:paraId="43FB7080"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15.6</w:t>
            </w:r>
          </w:p>
        </w:tc>
        <w:tc>
          <w:tcPr>
            <w:tcW w:w="567" w:type="dxa"/>
            <w:tcBorders>
              <w:top w:val="nil"/>
              <w:left w:val="nil"/>
              <w:bottom w:val="single" w:sz="8" w:space="0" w:color="auto"/>
              <w:right w:val="single" w:sz="8" w:space="0" w:color="auto"/>
            </w:tcBorders>
            <w:shd w:val="clear" w:color="000000" w:fill="EDEDED"/>
            <w:noWrap/>
            <w:vAlign w:val="center"/>
            <w:hideMark/>
          </w:tcPr>
          <w:p w14:paraId="2017CA79"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15.6</w:t>
            </w:r>
          </w:p>
        </w:tc>
        <w:tc>
          <w:tcPr>
            <w:tcW w:w="567" w:type="dxa"/>
            <w:tcBorders>
              <w:top w:val="nil"/>
              <w:left w:val="nil"/>
              <w:bottom w:val="single" w:sz="8" w:space="0" w:color="auto"/>
              <w:right w:val="single" w:sz="8" w:space="0" w:color="auto"/>
            </w:tcBorders>
            <w:shd w:val="clear" w:color="000000" w:fill="EDEDED"/>
            <w:noWrap/>
            <w:vAlign w:val="center"/>
            <w:hideMark/>
          </w:tcPr>
          <w:p w14:paraId="4BBF53FB"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17.3</w:t>
            </w:r>
          </w:p>
        </w:tc>
      </w:tr>
      <w:tr w:rsidR="005F4487" w:rsidRPr="007821E7" w14:paraId="4F414E95" w14:textId="77777777" w:rsidTr="007821E7">
        <w:trPr>
          <w:trHeight w:val="171"/>
          <w:jc w:val="center"/>
        </w:trPr>
        <w:tc>
          <w:tcPr>
            <w:tcW w:w="4101" w:type="dxa"/>
            <w:tcBorders>
              <w:top w:val="nil"/>
              <w:left w:val="single" w:sz="8" w:space="0" w:color="auto"/>
              <w:bottom w:val="single" w:sz="8" w:space="0" w:color="auto"/>
              <w:right w:val="single" w:sz="8" w:space="0" w:color="auto"/>
            </w:tcBorders>
            <w:shd w:val="clear" w:color="000000" w:fill="EDEDED"/>
            <w:vAlign w:val="center"/>
            <w:hideMark/>
          </w:tcPr>
          <w:p w14:paraId="20809E5F" w14:textId="77777777" w:rsidR="005F4487" w:rsidRPr="007821E7" w:rsidRDefault="005F4487" w:rsidP="007821E7">
            <w:pPr>
              <w:spacing w:after="0" w:line="240" w:lineRule="auto"/>
              <w:rPr>
                <w:rFonts w:ascii="Myriad Pro" w:hAnsi="Myriad Pro"/>
                <w:color w:val="000000"/>
                <w:sz w:val="14"/>
                <w:szCs w:val="14"/>
                <w:lang w:eastAsia="es-MX"/>
              </w:rPr>
            </w:pPr>
            <w:r w:rsidRPr="007821E7">
              <w:rPr>
                <w:rFonts w:ascii="Myriad Pro" w:hAnsi="Myriad Pro"/>
                <w:color w:val="000000"/>
                <w:sz w:val="14"/>
                <w:szCs w:val="14"/>
                <w:lang w:eastAsia="es-MX"/>
              </w:rPr>
              <w:t>Porcentaje de ingresos por remesas Familiares de Michoacán en PIB nacional</w:t>
            </w:r>
          </w:p>
        </w:tc>
        <w:tc>
          <w:tcPr>
            <w:tcW w:w="1134" w:type="dxa"/>
            <w:tcBorders>
              <w:top w:val="nil"/>
              <w:left w:val="nil"/>
              <w:bottom w:val="single" w:sz="8" w:space="0" w:color="auto"/>
              <w:right w:val="single" w:sz="8" w:space="0" w:color="auto"/>
            </w:tcBorders>
            <w:shd w:val="clear" w:color="000000" w:fill="EDEDED"/>
            <w:vAlign w:val="center"/>
            <w:hideMark/>
          </w:tcPr>
          <w:p w14:paraId="01486607"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Banxico</w:t>
            </w:r>
          </w:p>
        </w:tc>
        <w:tc>
          <w:tcPr>
            <w:tcW w:w="567" w:type="dxa"/>
            <w:tcBorders>
              <w:top w:val="nil"/>
              <w:left w:val="nil"/>
              <w:bottom w:val="single" w:sz="8" w:space="0" w:color="auto"/>
              <w:right w:val="single" w:sz="8" w:space="0" w:color="auto"/>
            </w:tcBorders>
            <w:shd w:val="clear" w:color="000000" w:fill="EDEDED"/>
            <w:vAlign w:val="center"/>
            <w:hideMark/>
          </w:tcPr>
          <w:p w14:paraId="517EC0E8"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w:t>
            </w:r>
          </w:p>
        </w:tc>
        <w:tc>
          <w:tcPr>
            <w:tcW w:w="709" w:type="dxa"/>
            <w:tcBorders>
              <w:top w:val="nil"/>
              <w:left w:val="nil"/>
              <w:bottom w:val="single" w:sz="8" w:space="0" w:color="auto"/>
              <w:right w:val="single" w:sz="8" w:space="0" w:color="auto"/>
            </w:tcBorders>
            <w:shd w:val="clear" w:color="000000" w:fill="EDEDED"/>
            <w:vAlign w:val="center"/>
            <w:hideMark/>
          </w:tcPr>
          <w:p w14:paraId="06BB5E20"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w:t>
            </w:r>
          </w:p>
        </w:tc>
        <w:tc>
          <w:tcPr>
            <w:tcW w:w="1134" w:type="dxa"/>
            <w:tcBorders>
              <w:top w:val="nil"/>
              <w:left w:val="nil"/>
              <w:bottom w:val="single" w:sz="8" w:space="0" w:color="auto"/>
              <w:right w:val="single" w:sz="8" w:space="0" w:color="auto"/>
            </w:tcBorders>
            <w:shd w:val="clear" w:color="000000" w:fill="EDEDED"/>
            <w:vAlign w:val="center"/>
            <w:hideMark/>
          </w:tcPr>
          <w:p w14:paraId="5D16A865"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Porcentaje</w:t>
            </w:r>
          </w:p>
        </w:tc>
        <w:tc>
          <w:tcPr>
            <w:tcW w:w="567" w:type="dxa"/>
            <w:tcBorders>
              <w:top w:val="nil"/>
              <w:left w:val="nil"/>
              <w:bottom w:val="single" w:sz="8" w:space="0" w:color="auto"/>
              <w:right w:val="single" w:sz="8" w:space="0" w:color="auto"/>
            </w:tcBorders>
            <w:shd w:val="clear" w:color="000000" w:fill="EDEDED"/>
            <w:noWrap/>
            <w:vAlign w:val="center"/>
            <w:hideMark/>
          </w:tcPr>
          <w:p w14:paraId="4947226D"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10.1</w:t>
            </w:r>
          </w:p>
        </w:tc>
        <w:tc>
          <w:tcPr>
            <w:tcW w:w="567" w:type="dxa"/>
            <w:tcBorders>
              <w:top w:val="nil"/>
              <w:left w:val="nil"/>
              <w:bottom w:val="single" w:sz="8" w:space="0" w:color="auto"/>
              <w:right w:val="single" w:sz="8" w:space="0" w:color="auto"/>
            </w:tcBorders>
            <w:shd w:val="clear" w:color="000000" w:fill="EDEDED"/>
            <w:noWrap/>
            <w:vAlign w:val="center"/>
            <w:hideMark/>
          </w:tcPr>
          <w:p w14:paraId="4900937A"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9.8</w:t>
            </w:r>
          </w:p>
        </w:tc>
        <w:tc>
          <w:tcPr>
            <w:tcW w:w="567" w:type="dxa"/>
            <w:tcBorders>
              <w:top w:val="nil"/>
              <w:left w:val="nil"/>
              <w:bottom w:val="single" w:sz="8" w:space="0" w:color="auto"/>
              <w:right w:val="single" w:sz="8" w:space="0" w:color="auto"/>
            </w:tcBorders>
            <w:shd w:val="clear" w:color="000000" w:fill="EDEDED"/>
            <w:noWrap/>
            <w:vAlign w:val="center"/>
            <w:hideMark/>
          </w:tcPr>
          <w:p w14:paraId="36268E08"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9.8</w:t>
            </w:r>
          </w:p>
        </w:tc>
        <w:tc>
          <w:tcPr>
            <w:tcW w:w="567" w:type="dxa"/>
            <w:tcBorders>
              <w:top w:val="nil"/>
              <w:left w:val="nil"/>
              <w:bottom w:val="single" w:sz="8" w:space="0" w:color="auto"/>
              <w:right w:val="single" w:sz="8" w:space="0" w:color="auto"/>
            </w:tcBorders>
            <w:shd w:val="clear" w:color="000000" w:fill="EDEDED"/>
            <w:noWrap/>
            <w:vAlign w:val="center"/>
            <w:hideMark/>
          </w:tcPr>
          <w:p w14:paraId="0023932A"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9.2</w:t>
            </w:r>
          </w:p>
        </w:tc>
        <w:tc>
          <w:tcPr>
            <w:tcW w:w="567" w:type="dxa"/>
            <w:tcBorders>
              <w:top w:val="nil"/>
              <w:left w:val="nil"/>
              <w:bottom w:val="single" w:sz="8" w:space="0" w:color="auto"/>
              <w:right w:val="single" w:sz="8" w:space="0" w:color="auto"/>
            </w:tcBorders>
            <w:shd w:val="clear" w:color="000000" w:fill="EDEDED"/>
            <w:noWrap/>
            <w:vAlign w:val="center"/>
            <w:hideMark/>
          </w:tcPr>
          <w:p w14:paraId="6FD165F5" w14:textId="77777777" w:rsidR="005F4487" w:rsidRPr="007821E7" w:rsidRDefault="005F4487" w:rsidP="007821E7">
            <w:pPr>
              <w:spacing w:after="0" w:line="240" w:lineRule="auto"/>
              <w:jc w:val="center"/>
              <w:rPr>
                <w:rFonts w:ascii="Myriad Pro" w:hAnsi="Myriad Pro"/>
                <w:color w:val="000000"/>
                <w:sz w:val="14"/>
                <w:szCs w:val="14"/>
                <w:lang w:eastAsia="es-MX"/>
              </w:rPr>
            </w:pPr>
            <w:r w:rsidRPr="007821E7">
              <w:rPr>
                <w:rFonts w:ascii="Myriad Pro" w:hAnsi="Myriad Pro"/>
                <w:color w:val="000000"/>
                <w:sz w:val="14"/>
                <w:szCs w:val="14"/>
                <w:lang w:eastAsia="es-MX"/>
              </w:rPr>
              <w:t>9.5</w:t>
            </w:r>
          </w:p>
        </w:tc>
      </w:tr>
    </w:tbl>
    <w:p w14:paraId="1770859F" w14:textId="77777777" w:rsidR="005F4487" w:rsidRDefault="005F4487" w:rsidP="005F4487">
      <w:pPr>
        <w:rPr>
          <w:rFonts w:ascii="GalanoGrotesque-Medium" w:eastAsia="Times New Roman" w:hAnsi="GalanoGrotesque-Medium" w:cs="Arial"/>
          <w:sz w:val="24"/>
          <w:szCs w:val="24"/>
          <w:lang w:val="es-ES" w:eastAsia="es-ES"/>
        </w:rPr>
        <w:sectPr w:rsidR="005F4487" w:rsidSect="007821E7">
          <w:footnotePr>
            <w:numStart w:val="4"/>
          </w:footnotePr>
          <w:type w:val="continuous"/>
          <w:pgSz w:w="12240" w:h="15840"/>
          <w:pgMar w:top="1418" w:right="1134" w:bottom="1418" w:left="1134" w:header="709" w:footer="709" w:gutter="0"/>
          <w:cols w:space="567"/>
          <w:docGrid w:linePitch="360"/>
        </w:sectPr>
      </w:pPr>
      <w:r w:rsidRPr="005F4487">
        <w:rPr>
          <w:rFonts w:ascii="GalanoGrotesque-Medium" w:eastAsia="Times New Roman" w:hAnsi="GalanoGrotesque-Medium" w:cs="Arial"/>
          <w:sz w:val="24"/>
          <w:szCs w:val="24"/>
          <w:lang w:val="es-ES" w:eastAsia="es-ES"/>
        </w:rPr>
        <w:br w:type="page"/>
      </w:r>
    </w:p>
    <w:p w14:paraId="52C2CFEB" w14:textId="77777777" w:rsidR="005F4487" w:rsidRPr="002C72FB" w:rsidRDefault="005F4487"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lastRenderedPageBreak/>
        <w:t xml:space="preserve">La inversión extranjera directa en el año 2015, con cifras menores a los quinientos millones de dólares, ubicó al Estado en la posición vigésimo segunda a nivel nacional  (10 posiciones abajo de la media nacional), lo que ha limitado entre otros factores, su desarrollo económico. </w:t>
      </w:r>
    </w:p>
    <w:p w14:paraId="16AF5C31" w14:textId="77777777" w:rsidR="005F4487" w:rsidRPr="002034DC" w:rsidRDefault="005F4487" w:rsidP="002034DC">
      <w:pPr>
        <w:spacing w:after="0" w:line="180" w:lineRule="exact"/>
        <w:jc w:val="center"/>
        <w:rPr>
          <w:rFonts w:ascii="GalanoGrotesque-Medium" w:eastAsia="Times New Roman" w:hAnsi="GalanoGrotesque-Medium" w:cs="Arial"/>
          <w:b/>
          <w:sz w:val="16"/>
          <w:szCs w:val="24"/>
          <w:lang w:val="es-ES" w:eastAsia="es-ES"/>
        </w:rPr>
      </w:pPr>
      <w:r w:rsidRPr="002034DC">
        <w:rPr>
          <w:rFonts w:ascii="GalanoGrotesque-Medium" w:eastAsia="Times New Roman" w:hAnsi="GalanoGrotesque-Medium" w:cs="Arial"/>
          <w:b/>
          <w:sz w:val="16"/>
          <w:szCs w:val="24"/>
          <w:lang w:val="es-ES" w:eastAsia="es-ES"/>
        </w:rPr>
        <w:t>Gráfica 4.2</w:t>
      </w:r>
    </w:p>
    <w:p w14:paraId="607073E7" w14:textId="77777777" w:rsidR="005F4487" w:rsidRPr="002034DC" w:rsidRDefault="005F4487" w:rsidP="00C30517">
      <w:pPr>
        <w:spacing w:after="160" w:line="180" w:lineRule="exact"/>
        <w:jc w:val="center"/>
        <w:rPr>
          <w:rFonts w:ascii="GalanoGrotesque-Medium" w:eastAsia="Times New Roman" w:hAnsi="GalanoGrotesque-Medium" w:cs="Arial"/>
          <w:b/>
          <w:sz w:val="16"/>
          <w:szCs w:val="24"/>
          <w:lang w:val="es-ES" w:eastAsia="es-ES"/>
        </w:rPr>
      </w:pPr>
      <w:r w:rsidRPr="002034DC">
        <w:rPr>
          <w:rFonts w:ascii="GalanoGrotesque-Medium" w:eastAsia="Times New Roman" w:hAnsi="GalanoGrotesque-Medium" w:cs="Arial"/>
          <w:b/>
          <w:sz w:val="16"/>
          <w:szCs w:val="24"/>
          <w:lang w:val="es-ES" w:eastAsia="es-ES"/>
        </w:rPr>
        <w:t>Inversión extranjera directa por entidad federativa, 2015</w:t>
      </w:r>
    </w:p>
    <w:p w14:paraId="551B5649" w14:textId="77777777" w:rsidR="005F4487" w:rsidRDefault="005F4487" w:rsidP="005F4487">
      <w:pPr>
        <w:spacing w:after="0" w:line="240" w:lineRule="auto"/>
        <w:jc w:val="center"/>
        <w:rPr>
          <w:rFonts w:ascii="GalanoGrotesque-Medium" w:eastAsia="Times New Roman" w:hAnsi="GalanoGrotesque-Medium" w:cs="Arial"/>
          <w:sz w:val="16"/>
          <w:szCs w:val="16"/>
          <w:lang w:val="es-ES" w:eastAsia="es-ES"/>
        </w:rPr>
      </w:pPr>
      <w:r w:rsidRPr="005F4487">
        <w:rPr>
          <w:rFonts w:ascii="GalanoGrotesque-Medium" w:eastAsia="Times New Roman" w:hAnsi="GalanoGrotesque-Medium" w:cs="Times New Roman"/>
          <w:noProof/>
          <w:sz w:val="24"/>
          <w:szCs w:val="24"/>
          <w:lang w:val="es-ES" w:eastAsia="es-ES"/>
        </w:rPr>
        <w:drawing>
          <wp:inline distT="0" distB="0" distL="0" distR="0" wp14:anchorId="54765802" wp14:editId="5B1B2455">
            <wp:extent cx="2870421" cy="3299791"/>
            <wp:effectExtent l="0" t="0" r="6350" b="15240"/>
            <wp:docPr id="43036" name="Gráfico 43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4CA018B" w14:textId="77777777" w:rsidR="002034DC" w:rsidRDefault="005F4487" w:rsidP="002034DC">
      <w:pPr>
        <w:spacing w:after="160" w:line="180" w:lineRule="exact"/>
        <w:rPr>
          <w:rFonts w:ascii="GalanoGrotesque-Regular" w:eastAsia="Times New Roman" w:hAnsi="GalanoGrotesque-Regular" w:cs="Arial"/>
          <w:sz w:val="16"/>
          <w:szCs w:val="20"/>
          <w:lang w:val="es-ES" w:eastAsia="es-ES"/>
        </w:rPr>
      </w:pPr>
      <w:r w:rsidRPr="002034DC">
        <w:rPr>
          <w:rFonts w:ascii="GalanoGrotesque-Regular" w:eastAsia="Times New Roman" w:hAnsi="GalanoGrotesque-Regular" w:cs="Arial"/>
          <w:sz w:val="16"/>
          <w:szCs w:val="20"/>
          <w:lang w:val="es-ES" w:eastAsia="es-ES"/>
        </w:rPr>
        <w:t>Fuente: Centro de estudios de finanzas Públicas (CEFP)/SE 2010- 2014.</w:t>
      </w:r>
    </w:p>
    <w:p w14:paraId="24A9EEDD" w14:textId="77777777" w:rsidR="005F4487" w:rsidRPr="002C72FB" w:rsidRDefault="005F4487" w:rsidP="00DE0C10">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En Michoacán el sector terciario representa el 65.76% de la actividad económica, el sector secundario el 23.19% y su sector primario el 11.05%; actividad ésta última, en la que ocupamos primeros lugares en la producción nacional con  importantes áreas de oportunidad  para su transformación industrial.</w:t>
      </w:r>
    </w:p>
    <w:p w14:paraId="263D650F" w14:textId="77777777" w:rsidR="005F4487" w:rsidRPr="002C72FB" w:rsidRDefault="005F4487"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La industria alimentaria es la actividad que más aporta al PIB estatal de manufactura con 28%, seguido por productos minerales no metálicos (14%). La fabricación de productos metálicos y la industria de la madera son actividades que contribuyen al ingreso del estado con 11% cada una, seguidos por la fabricación de muebles (10%) y otras industrias manufactureras (9%). El 17% restante se distribuye en actividades como fabricación de prendas de vestir, productos textiles, curtidos y acabados en productos de cuero y piel, bebidas y tabaco, entre otros.</w:t>
      </w:r>
    </w:p>
    <w:p w14:paraId="1C5AC2F3" w14:textId="77777777" w:rsidR="00393342" w:rsidRPr="002034DC" w:rsidRDefault="00393342" w:rsidP="002034DC">
      <w:pPr>
        <w:framePr w:hSpace="141" w:wrap="around" w:vAnchor="text" w:hAnchor="text" w:xAlign="center" w:y="1"/>
        <w:widowControl w:val="0"/>
        <w:autoSpaceDE w:val="0"/>
        <w:autoSpaceDN w:val="0"/>
        <w:adjustRightInd w:val="0"/>
        <w:spacing w:after="0" w:line="180" w:lineRule="exact"/>
        <w:suppressOverlap/>
        <w:jc w:val="center"/>
        <w:rPr>
          <w:rFonts w:ascii="GalanoGrotesque-Medium" w:hAnsi="GalanoGrotesque-Medium" w:cs="Arial"/>
          <w:b/>
          <w:sz w:val="16"/>
        </w:rPr>
      </w:pPr>
      <w:r w:rsidRPr="002034DC">
        <w:rPr>
          <w:rFonts w:ascii="GalanoGrotesque-Medium" w:hAnsi="GalanoGrotesque-Medium" w:cs="Arial"/>
          <w:b/>
          <w:sz w:val="16"/>
        </w:rPr>
        <w:t>Gráfica 4.3</w:t>
      </w:r>
    </w:p>
    <w:p w14:paraId="60F5973A" w14:textId="77777777" w:rsidR="00393342" w:rsidRPr="002034DC" w:rsidRDefault="00393342" w:rsidP="002034DC">
      <w:pPr>
        <w:framePr w:hSpace="141" w:wrap="around" w:vAnchor="text" w:hAnchor="text" w:xAlign="center" w:y="1"/>
        <w:widowControl w:val="0"/>
        <w:autoSpaceDE w:val="0"/>
        <w:autoSpaceDN w:val="0"/>
        <w:adjustRightInd w:val="0"/>
        <w:spacing w:after="160" w:line="180" w:lineRule="exact"/>
        <w:suppressOverlap/>
        <w:jc w:val="center"/>
        <w:rPr>
          <w:rFonts w:ascii="GalanoGrotesque-Medium" w:hAnsi="GalanoGrotesque-Medium" w:cs="Arial"/>
          <w:b/>
          <w:sz w:val="16"/>
        </w:rPr>
      </w:pPr>
      <w:r w:rsidRPr="002034DC">
        <w:rPr>
          <w:rFonts w:ascii="GalanoGrotesque-Medium" w:hAnsi="GalanoGrotesque-Medium" w:cs="Arial"/>
          <w:b/>
          <w:sz w:val="16"/>
        </w:rPr>
        <w:t>Actividad económica según sector, 2014</w:t>
      </w:r>
    </w:p>
    <w:p w14:paraId="48B779B1" w14:textId="77777777" w:rsidR="00393342" w:rsidRPr="001E7327" w:rsidRDefault="00393342" w:rsidP="00393342">
      <w:pPr>
        <w:framePr w:hSpace="141" w:wrap="around" w:vAnchor="text" w:hAnchor="text" w:xAlign="center" w:y="1"/>
        <w:widowControl w:val="0"/>
        <w:autoSpaceDE w:val="0"/>
        <w:autoSpaceDN w:val="0"/>
        <w:adjustRightInd w:val="0"/>
        <w:spacing w:line="240" w:lineRule="atLeast"/>
        <w:suppressOverlap/>
        <w:jc w:val="center"/>
        <w:rPr>
          <w:rFonts w:ascii="GalanoGrotesque-Medium" w:hAnsi="GalanoGrotesque-Medium" w:cs="Arial"/>
          <w:b/>
        </w:rPr>
      </w:pPr>
      <w:r w:rsidRPr="001E7327">
        <w:rPr>
          <w:rFonts w:ascii="GalanoGrotesque-Medium" w:hAnsi="GalanoGrotesque-Medium"/>
          <w:noProof/>
          <w:lang w:val="es-ES" w:eastAsia="es-ES"/>
        </w:rPr>
        <w:drawing>
          <wp:inline distT="0" distB="0" distL="0" distR="0" wp14:anchorId="3B4DC864" wp14:editId="320D734E">
            <wp:extent cx="3597350" cy="1860698"/>
            <wp:effectExtent l="0" t="0" r="3175"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97350" cy="1860698"/>
                    </a:xfrm>
                    <a:prstGeom prst="rect">
                      <a:avLst/>
                    </a:prstGeom>
                  </pic:spPr>
                </pic:pic>
              </a:graphicData>
            </a:graphic>
          </wp:inline>
        </w:drawing>
      </w:r>
    </w:p>
    <w:p w14:paraId="41C44B2D" w14:textId="77777777" w:rsidR="005F4487" w:rsidRPr="002034DC" w:rsidRDefault="005F4487" w:rsidP="002034DC">
      <w:pPr>
        <w:spacing w:after="160" w:line="180" w:lineRule="exact"/>
        <w:jc w:val="both"/>
        <w:rPr>
          <w:rFonts w:ascii="GalanoGrotesque-Regular" w:eastAsia="Times New Roman" w:hAnsi="GalanoGrotesque-Regular" w:cs="Arial"/>
          <w:sz w:val="16"/>
          <w:szCs w:val="20"/>
          <w:lang w:val="es-ES" w:eastAsia="es-ES"/>
        </w:rPr>
      </w:pPr>
    </w:p>
    <w:p w14:paraId="2284C8F4" w14:textId="77777777" w:rsidR="00C30517" w:rsidRDefault="00C30517" w:rsidP="002034DC">
      <w:pPr>
        <w:spacing w:after="160" w:line="240" w:lineRule="auto"/>
        <w:jc w:val="both"/>
        <w:rPr>
          <w:rFonts w:ascii="MyriadPro-Regular" w:hAnsi="MyriadPro-Regular" w:cs="MyriadPro-Regular"/>
          <w:color w:val="414142"/>
          <w:sz w:val="20"/>
          <w:szCs w:val="20"/>
        </w:rPr>
      </w:pPr>
    </w:p>
    <w:p w14:paraId="5B1DF6AE" w14:textId="77777777" w:rsidR="00C30517" w:rsidRDefault="00C30517" w:rsidP="00C30517">
      <w:pPr>
        <w:spacing w:after="160" w:line="160" w:lineRule="exact"/>
        <w:jc w:val="both"/>
        <w:rPr>
          <w:rFonts w:ascii="MyriadPro-Regular" w:hAnsi="MyriadPro-Regular" w:cs="MyriadPro-Regular"/>
          <w:color w:val="414142"/>
          <w:sz w:val="20"/>
          <w:szCs w:val="20"/>
        </w:rPr>
      </w:pPr>
      <w:r w:rsidRPr="002034DC">
        <w:rPr>
          <w:rFonts w:ascii="GalanoGrotesque-Regular" w:eastAsia="Times New Roman" w:hAnsi="GalanoGrotesque-Regular" w:cs="Arial"/>
          <w:sz w:val="16"/>
          <w:szCs w:val="20"/>
          <w:lang w:val="es-ES" w:eastAsia="es-ES"/>
        </w:rPr>
        <w:t>Fuente: Elaboración del INEGI. Sistema de Cuentas Nacionales de México. Participación por actividad económica en valores corrientes.</w:t>
      </w:r>
    </w:p>
    <w:p w14:paraId="278D5A56"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Además de la actividad primaria, la economía michoacana encuentra fortalezas en el sector terciario, utilizando y ofreciendo servicios mediante el aprovechamiento de su riqueza natural, cultural y gastronómica que se puede apreciar en sus ocho pueblos mágicos y reservas naturales principalmente en las regiones de </w:t>
      </w:r>
      <w:proofErr w:type="spellStart"/>
      <w:r w:rsidRPr="002C72FB">
        <w:rPr>
          <w:rFonts w:ascii="MyriadPro-Regular" w:hAnsi="MyriadPro-Regular" w:cs="MyriadPro-Regular"/>
          <w:color w:val="414142"/>
          <w:sz w:val="20"/>
          <w:szCs w:val="20"/>
        </w:rPr>
        <w:t>Cuitzeo</w:t>
      </w:r>
      <w:proofErr w:type="spellEnd"/>
      <w:r w:rsidRPr="002C72FB">
        <w:rPr>
          <w:rFonts w:ascii="MyriadPro-Regular" w:hAnsi="MyriadPro-Regular" w:cs="MyriadPro-Regular"/>
          <w:color w:val="414142"/>
          <w:sz w:val="20"/>
          <w:szCs w:val="20"/>
        </w:rPr>
        <w:t>, Purépecha y Pátzcuaro-</w:t>
      </w:r>
      <w:proofErr w:type="spellStart"/>
      <w:r w:rsidRPr="002C72FB">
        <w:rPr>
          <w:rFonts w:ascii="MyriadPro-Regular" w:hAnsi="MyriadPro-Regular" w:cs="MyriadPro-Regular"/>
          <w:color w:val="414142"/>
          <w:sz w:val="20"/>
          <w:szCs w:val="20"/>
        </w:rPr>
        <w:t>Zirahuén</w:t>
      </w:r>
      <w:proofErr w:type="spellEnd"/>
      <w:r w:rsidRPr="002C72FB">
        <w:rPr>
          <w:rFonts w:ascii="MyriadPro-Regular" w:hAnsi="MyriadPro-Regular" w:cs="MyriadPro-Regular"/>
          <w:color w:val="414142"/>
          <w:sz w:val="20"/>
          <w:szCs w:val="20"/>
        </w:rPr>
        <w:t xml:space="preserve">, que concentran más del 68% de la afluencia Turística del Estado. </w:t>
      </w:r>
    </w:p>
    <w:p w14:paraId="74CF6902"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El Porcentaje de la Población Económicamente Activa Ocupada (PEAO) ubica a Michoacán en el lugar vigésimo sexto en relación a las 32 entidades federativas de la República Mexicana, tres puntos arriba de la media nacional (Gráfica 4.4).</w:t>
      </w:r>
    </w:p>
    <w:p w14:paraId="53FC74C6"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Es importante señalar que este indicador mejoró al pasar de 39.56% de su PEA ocupada en el año 2010 a 43.54% en el año 2015; persiste sin embargo un alto grado de informalidad laboral. Por ello resulta indispensable generar y promover fuentes de empleo dignas en la entidad que permitan obtener ingresos suficientes para mejorar el nivel de vida de sus habitantes.</w:t>
      </w:r>
    </w:p>
    <w:p w14:paraId="1718C44C" w14:textId="77777777" w:rsidR="00393342" w:rsidRDefault="00393342" w:rsidP="00393342">
      <w:pPr>
        <w:spacing w:after="240"/>
        <w:jc w:val="both"/>
        <w:rPr>
          <w:rFonts w:ascii="GalanoGrotesque-Medium" w:hAnsi="GalanoGrotesque-Medium" w:cs="Arial"/>
        </w:rPr>
        <w:sectPr w:rsidR="00393342" w:rsidSect="005F4487">
          <w:footnotePr>
            <w:numStart w:val="4"/>
          </w:footnotePr>
          <w:pgSz w:w="12240" w:h="15840"/>
          <w:pgMar w:top="1418" w:right="1134" w:bottom="1418" w:left="1134" w:header="709" w:footer="709" w:gutter="0"/>
          <w:cols w:num="2" w:space="567"/>
          <w:docGrid w:linePitch="360"/>
        </w:sectPr>
      </w:pPr>
    </w:p>
    <w:p w14:paraId="2C2F4E75" w14:textId="77777777" w:rsidR="00393342" w:rsidRPr="002034DC" w:rsidRDefault="00393342" w:rsidP="002034DC">
      <w:pPr>
        <w:widowControl w:val="0"/>
        <w:autoSpaceDE w:val="0"/>
        <w:autoSpaceDN w:val="0"/>
        <w:adjustRightInd w:val="0"/>
        <w:spacing w:after="0" w:line="180" w:lineRule="exact"/>
        <w:jc w:val="center"/>
        <w:rPr>
          <w:rFonts w:ascii="GalanoGrotesque-Medium" w:hAnsi="GalanoGrotesque-Medium" w:cs="Arial"/>
          <w:b/>
          <w:sz w:val="16"/>
        </w:rPr>
      </w:pPr>
      <w:r w:rsidRPr="002034DC">
        <w:rPr>
          <w:rFonts w:ascii="GalanoGrotesque-Medium" w:hAnsi="GalanoGrotesque-Medium" w:cs="Arial"/>
          <w:b/>
          <w:sz w:val="16"/>
        </w:rPr>
        <w:lastRenderedPageBreak/>
        <w:t>Gráfica 4.4</w:t>
      </w:r>
    </w:p>
    <w:p w14:paraId="2DE1B6D9" w14:textId="77777777" w:rsidR="00393342" w:rsidRPr="002034DC" w:rsidRDefault="00393342" w:rsidP="002034DC">
      <w:pPr>
        <w:widowControl w:val="0"/>
        <w:autoSpaceDE w:val="0"/>
        <w:autoSpaceDN w:val="0"/>
        <w:adjustRightInd w:val="0"/>
        <w:spacing w:after="0" w:line="180" w:lineRule="exact"/>
        <w:jc w:val="center"/>
        <w:rPr>
          <w:rFonts w:ascii="GalanoGrotesque-Medium" w:hAnsi="GalanoGrotesque-Medium" w:cs="Arial"/>
          <w:b/>
          <w:sz w:val="16"/>
        </w:rPr>
      </w:pPr>
      <w:r w:rsidRPr="002034DC">
        <w:rPr>
          <w:rFonts w:ascii="GalanoGrotesque-Medium" w:hAnsi="GalanoGrotesque-Medium" w:cs="Arial"/>
          <w:b/>
          <w:sz w:val="16"/>
        </w:rPr>
        <w:t xml:space="preserve">Porcentaje de la Población Económicamente Activa Ocupada en 2015 </w:t>
      </w:r>
    </w:p>
    <w:p w14:paraId="47305C3A" w14:textId="77777777" w:rsidR="00393342" w:rsidRPr="001E7327" w:rsidRDefault="00393342" w:rsidP="00393342">
      <w:pPr>
        <w:spacing w:after="240"/>
        <w:jc w:val="center"/>
        <w:rPr>
          <w:rFonts w:ascii="GalanoGrotesque-Medium" w:hAnsi="GalanoGrotesque-Medium"/>
          <w:noProof/>
        </w:rPr>
      </w:pPr>
      <w:r w:rsidRPr="001E7327">
        <w:rPr>
          <w:rFonts w:ascii="GalanoGrotesque-Medium" w:hAnsi="GalanoGrotesque-Medium"/>
          <w:noProof/>
          <w:lang w:val="es-ES" w:eastAsia="es-ES"/>
        </w:rPr>
        <w:drawing>
          <wp:inline distT="0" distB="0" distL="0" distR="0" wp14:anchorId="490D3C0C" wp14:editId="1BC5617E">
            <wp:extent cx="5612130" cy="5543550"/>
            <wp:effectExtent l="0" t="0" r="7620" b="0"/>
            <wp:docPr id="43008" name="Gráfico 4300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54EFC28" w14:textId="77777777" w:rsidR="00393342" w:rsidRPr="002034DC" w:rsidRDefault="00393342" w:rsidP="002034DC">
      <w:pPr>
        <w:spacing w:after="240"/>
        <w:ind w:left="567"/>
        <w:jc w:val="both"/>
        <w:rPr>
          <w:rFonts w:ascii="GalanoGrotesque-Regular" w:hAnsi="GalanoGrotesque-Regular" w:cs="Arial"/>
          <w:sz w:val="16"/>
          <w:szCs w:val="20"/>
        </w:rPr>
      </w:pPr>
      <w:r w:rsidRPr="002034DC">
        <w:rPr>
          <w:rFonts w:ascii="GalanoGrotesque-Regular" w:hAnsi="GalanoGrotesque-Regular" w:cs="Arial"/>
          <w:sz w:val="16"/>
          <w:szCs w:val="20"/>
        </w:rPr>
        <w:t>Fuente: INEGI 2015.</w:t>
      </w:r>
    </w:p>
    <w:p w14:paraId="622C5143" w14:textId="77777777" w:rsidR="00393342" w:rsidRDefault="00393342" w:rsidP="00393342">
      <w:pPr>
        <w:spacing w:after="240"/>
        <w:jc w:val="both"/>
        <w:rPr>
          <w:rFonts w:ascii="GalanoGrotesque-Medium" w:hAnsi="GalanoGrotesque-Medium" w:cs="Arial"/>
        </w:rPr>
        <w:sectPr w:rsidR="00393342" w:rsidSect="00393342">
          <w:footnotePr>
            <w:numStart w:val="4"/>
          </w:footnotePr>
          <w:pgSz w:w="12240" w:h="15840"/>
          <w:pgMar w:top="1418" w:right="1134" w:bottom="1418" w:left="1134" w:header="709" w:footer="709" w:gutter="0"/>
          <w:cols w:space="567"/>
          <w:docGrid w:linePitch="360"/>
        </w:sectPr>
      </w:pPr>
    </w:p>
    <w:p w14:paraId="59366329" w14:textId="77777777" w:rsidR="002034DC" w:rsidRDefault="00393342" w:rsidP="00393342">
      <w:pPr>
        <w:spacing w:after="240"/>
        <w:jc w:val="both"/>
        <w:rPr>
          <w:rFonts w:ascii="MyriadPro-Regular" w:hAnsi="MyriadPro-Regular" w:cs="MyriadPro-Regular"/>
          <w:color w:val="414142"/>
          <w:sz w:val="20"/>
          <w:szCs w:val="20"/>
        </w:rPr>
        <w:sectPr w:rsidR="002034DC" w:rsidSect="002034DC">
          <w:footnotePr>
            <w:numStart w:val="4"/>
          </w:footnotePr>
          <w:type w:val="continuous"/>
          <w:pgSz w:w="12240" w:h="15840"/>
          <w:pgMar w:top="1418" w:right="1134" w:bottom="1418" w:left="1134" w:header="709" w:footer="709" w:gutter="0"/>
          <w:cols w:num="2" w:space="567"/>
          <w:docGrid w:linePitch="360"/>
        </w:sectPr>
      </w:pPr>
      <w:r w:rsidRPr="002C72FB">
        <w:rPr>
          <w:rFonts w:ascii="MyriadPro-Regular" w:hAnsi="MyriadPro-Regular" w:cs="MyriadPro-Regular"/>
          <w:color w:val="414142"/>
          <w:sz w:val="20"/>
          <w:szCs w:val="20"/>
        </w:rPr>
        <w:lastRenderedPageBreak/>
        <w:t>El indicador resulta preocupante también si medimos la PEA afiliada al IMSS, la cual resulta ser menor al 20% del total ocupado, lo que nos vuelve a colocar en el vigésimo sexto lugar nacional, solamente arriba de los Estados de México, Hidalgo, Tlaxcala,</w:t>
      </w:r>
      <w:r w:rsidRPr="00393342">
        <w:rPr>
          <w:rFonts w:ascii="GalanoGrotesque-Medium" w:hAnsi="GalanoGrotesque-Medium" w:cs="Arial"/>
          <w:sz w:val="24"/>
          <w:szCs w:val="24"/>
        </w:rPr>
        <w:t xml:space="preserve"> </w:t>
      </w:r>
      <w:r w:rsidRPr="002C72FB">
        <w:rPr>
          <w:rFonts w:ascii="MyriadPro-Regular" w:hAnsi="MyriadPro-Regular" w:cs="MyriadPro-Regular"/>
          <w:color w:val="414142"/>
          <w:sz w:val="20"/>
          <w:szCs w:val="20"/>
        </w:rPr>
        <w:t>Oaxaca, Chiapas y Guerrero (Gráfica 4.5).</w:t>
      </w:r>
    </w:p>
    <w:p w14:paraId="16870459" w14:textId="77777777" w:rsidR="00393342" w:rsidRPr="002034DC" w:rsidRDefault="00393342" w:rsidP="002034DC">
      <w:pPr>
        <w:spacing w:after="0" w:line="180" w:lineRule="exact"/>
        <w:jc w:val="center"/>
        <w:rPr>
          <w:rFonts w:ascii="GalanoGrotesque-Medium" w:hAnsi="GalanoGrotesque-Medium" w:cs="Arial"/>
          <w:b/>
          <w:sz w:val="16"/>
        </w:rPr>
      </w:pPr>
      <w:r w:rsidRPr="002034DC">
        <w:rPr>
          <w:rFonts w:ascii="GalanoGrotesque-Medium" w:hAnsi="GalanoGrotesque-Medium" w:cs="Arial"/>
          <w:b/>
          <w:sz w:val="16"/>
        </w:rPr>
        <w:lastRenderedPageBreak/>
        <w:t>Gráfica 4.5</w:t>
      </w:r>
    </w:p>
    <w:p w14:paraId="54BE85C0" w14:textId="77777777" w:rsidR="00393342" w:rsidRPr="002034DC" w:rsidRDefault="00393342" w:rsidP="002034DC">
      <w:pPr>
        <w:spacing w:after="160" w:line="180" w:lineRule="exact"/>
        <w:jc w:val="center"/>
        <w:rPr>
          <w:rFonts w:ascii="GalanoGrotesque-Medium" w:hAnsi="GalanoGrotesque-Medium" w:cs="Arial"/>
          <w:b/>
          <w:sz w:val="16"/>
        </w:rPr>
      </w:pPr>
      <w:r w:rsidRPr="002034DC">
        <w:rPr>
          <w:rFonts w:ascii="GalanoGrotesque-Medium" w:hAnsi="GalanoGrotesque-Medium" w:cs="Arial"/>
          <w:b/>
          <w:sz w:val="16"/>
        </w:rPr>
        <w:t>Porcentaje de la PEA afiliada al IMSS en 2015</w:t>
      </w:r>
    </w:p>
    <w:p w14:paraId="2C1DF22A" w14:textId="77777777" w:rsidR="00393342" w:rsidRPr="001E7327" w:rsidRDefault="00393342" w:rsidP="00393342">
      <w:pPr>
        <w:jc w:val="center"/>
        <w:rPr>
          <w:rFonts w:ascii="GalanoGrotesque-Medium" w:hAnsi="GalanoGrotesque-Medium" w:cs="Arial"/>
          <w:b/>
        </w:rPr>
      </w:pPr>
      <w:r w:rsidRPr="001E7327">
        <w:rPr>
          <w:rFonts w:ascii="GalanoGrotesque-Medium" w:hAnsi="GalanoGrotesque-Medium"/>
          <w:noProof/>
          <w:lang w:val="es-ES" w:eastAsia="es-ES"/>
        </w:rPr>
        <w:drawing>
          <wp:inline distT="0" distB="0" distL="0" distR="0" wp14:anchorId="7E39DD09" wp14:editId="0CE1A04D">
            <wp:extent cx="5486400" cy="4095750"/>
            <wp:effectExtent l="0" t="0" r="0" b="0"/>
            <wp:docPr id="43039" name="Imagen 4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4095750"/>
                    </a:xfrm>
                    <a:prstGeom prst="rect">
                      <a:avLst/>
                    </a:prstGeom>
                  </pic:spPr>
                </pic:pic>
              </a:graphicData>
            </a:graphic>
          </wp:inline>
        </w:drawing>
      </w:r>
    </w:p>
    <w:p w14:paraId="13DFFFD1" w14:textId="77777777" w:rsidR="00393342" w:rsidRPr="002034DC" w:rsidRDefault="00393342" w:rsidP="00393342">
      <w:pPr>
        <w:spacing w:after="240"/>
        <w:jc w:val="both"/>
        <w:rPr>
          <w:rFonts w:ascii="GalanoGrotesque-Regular" w:hAnsi="GalanoGrotesque-Regular" w:cs="Arial"/>
          <w:sz w:val="16"/>
          <w:szCs w:val="20"/>
        </w:rPr>
      </w:pPr>
      <w:r w:rsidRPr="002034DC">
        <w:rPr>
          <w:rFonts w:ascii="GalanoGrotesque-Regular" w:hAnsi="GalanoGrotesque-Regular" w:cs="Arial"/>
          <w:sz w:val="16"/>
          <w:szCs w:val="20"/>
        </w:rPr>
        <w:t>Fuente: INEGI.</w:t>
      </w:r>
    </w:p>
    <w:p w14:paraId="13659E24" w14:textId="77777777" w:rsidR="00393342" w:rsidRDefault="00393342" w:rsidP="00393342">
      <w:pPr>
        <w:spacing w:after="240"/>
        <w:jc w:val="both"/>
        <w:rPr>
          <w:rFonts w:ascii="GalanoGrotesque-Medium" w:eastAsia="Times New Roman" w:hAnsi="GalanoGrotesque-Medium" w:cs="Arial"/>
          <w:sz w:val="24"/>
          <w:szCs w:val="24"/>
          <w:lang w:val="es-ES" w:eastAsia="es-ES"/>
        </w:rPr>
        <w:sectPr w:rsidR="00393342" w:rsidSect="002034DC">
          <w:footnotePr>
            <w:numStart w:val="4"/>
          </w:footnotePr>
          <w:pgSz w:w="12240" w:h="15840"/>
          <w:pgMar w:top="1418" w:right="1134" w:bottom="1418" w:left="1134" w:header="709" w:footer="709" w:gutter="0"/>
          <w:cols w:space="567"/>
          <w:docGrid w:linePitch="360"/>
        </w:sectPr>
      </w:pPr>
    </w:p>
    <w:p w14:paraId="3C707ACF"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lastRenderedPageBreak/>
        <w:t>Según datos del Instituto Mexicano del Seguro Social, el salario base de cotización diario fue de 261.1 pesos, lo que ubicó a la entidad en la posición 22, muy por debajo de la media nacional de 301.9 pesos. Esto significa que los michoacanos ganaron el año pasado 13.5% menos que el promedio de los mexicanos.</w:t>
      </w:r>
    </w:p>
    <w:p w14:paraId="422425B9"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El Consejo Nacional de Evaluación de la Política de Desarrollo Social (CONEVAL) creó el Índice de Tendencia Laboral de la Pobreza (ITLP). Es un indicador que muestra trimestralmente la tendencia de la proporción de personas que no puede adquirir la canasta alimentaria con el ingreso de su trabajo y está explicado por el poder adquisitivo del ingreso laboral de los hogares. </w:t>
      </w:r>
    </w:p>
    <w:p w14:paraId="7FC811D4"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Si el poder adquisitivo mejora, el ITLP tiende a bajar si el ingreso laboral crece más que el precio de los alimentos. En contrario, tiende a subir si el precio de los alimentos sube más que el ingreso de los hogares.</w:t>
      </w:r>
    </w:p>
    <w:p w14:paraId="3960FA3C"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lastRenderedPageBreak/>
        <w:t>En Michoacán el ITLP ha tendido a subir en los últimos años, lo que revela  una tendencia preocupante al reducir la capacidad adquisitiva del ingreso de los trabajadores, dado el incremento de los alimentos, aun cuando se encuentra por debajo de la media nacional.</w:t>
      </w:r>
    </w:p>
    <w:p w14:paraId="586CB254"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Los salarios nominales no obstante han mejorado en los últimos cinco años con un crecimiento del 14.29%, muy similar a  la media nacional; sin embargo siguen siendo bajos en comparación a otras entidades con las mismas fortalezas que Michoacán.</w:t>
      </w:r>
    </w:p>
    <w:p w14:paraId="5D0214E2"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Por otra parte, Michoacán enfrenta una crisis financiera sin precedentes, lo cual obliga a llevar a cabo de manera estratégica una optimización y maximización de los recursos existentes, ya que su endeudamiento se ha visto incrementado fuertemente.</w:t>
      </w:r>
    </w:p>
    <w:p w14:paraId="33E8102C"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El gasto público tanto corriente como de inversión, incide directamente en la actividad económica del </w:t>
      </w:r>
      <w:r w:rsidRPr="002C72FB">
        <w:rPr>
          <w:rFonts w:ascii="MyriadPro-Regular" w:hAnsi="MyriadPro-Regular" w:cs="MyriadPro-Regular"/>
          <w:color w:val="414142"/>
          <w:sz w:val="20"/>
          <w:szCs w:val="20"/>
        </w:rPr>
        <w:lastRenderedPageBreak/>
        <w:t>Estado, y el comportamiento de estas variables ha sido por demás errático. Finanzas públicas deficitarias, alto nivel de endeudamiento, baja recaudación, y la alta dependencia de las participaciones federales reducen los  alcances de promotor económico del Gobierno del Estado de Michoacán. Por ello, la entidad se ubica entre las diez con más baja calificación.</w:t>
      </w:r>
    </w:p>
    <w:p w14:paraId="68C13B4D"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Según el Informe de la Cuenta Pública del Ejercicio Fiscal 2014, la deuda a largo plazo alcanzó un monto de 17,096.1 millones de pesos, mientras que la de corto plazo fue de 14,317.4 millones de pesos.</w:t>
      </w:r>
    </w:p>
    <w:p w14:paraId="580CF893" w14:textId="79C6F706"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Asimismo, el impulso a las exportaciones constituye uno de los objetivos de política pública del presente gobierno, ya que exportar implica generar empleos, agregar valor y principalmente obtener ingresos en monedas fuertes. Estos ingresos, a su vez, brindan la oportunidad de asumir pasivos en monedas como dólares, euros, yenes, etc. El salario o el costo de la nómina constituyen un pasivo laboral el cual puede ser saldado en moneda extranjera y en tarifas homologadas al país de destino de los productos exportados. La derrama económica así lograda, fortalecerá el tan debilitado mercado interno de nuestro </w:t>
      </w:r>
      <w:r w:rsidR="00F11D02">
        <w:rPr>
          <w:rFonts w:ascii="MyriadPro-Regular" w:hAnsi="MyriadPro-Regular" w:cs="MyriadPro-Regular"/>
          <w:color w:val="414142"/>
          <w:sz w:val="20"/>
          <w:szCs w:val="20"/>
        </w:rPr>
        <w:t>E</w:t>
      </w:r>
      <w:r w:rsidRPr="002C72FB">
        <w:rPr>
          <w:rFonts w:ascii="MyriadPro-Regular" w:hAnsi="MyriadPro-Regular" w:cs="MyriadPro-Regular"/>
          <w:color w:val="414142"/>
          <w:sz w:val="20"/>
          <w:szCs w:val="20"/>
        </w:rPr>
        <w:t>stado.</w:t>
      </w:r>
    </w:p>
    <w:p w14:paraId="04A9060F"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Pieza fundamental de esta estrategia es la Zona Económica Especial de Lázaro Cárdenas y su zona de influencia, la cual potenciará la posibilidad de incrementar las exportaciones y los ingresos en monedas fuertes al interior de la economía estatal. El efecto multiplicador del conjunto de estas acciones habrá de traducirse en ingresos para empresarios y productores, así como para los trabajadores en forma de empleos dignos.  </w:t>
      </w:r>
    </w:p>
    <w:p w14:paraId="635A1B14"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Las exportaciones son una variable reflejo del comportamiento de una economía, implica por un lado, inversión y empleo; también es un síntoma de </w:t>
      </w:r>
      <w:proofErr w:type="gramStart"/>
      <w:r w:rsidRPr="002C72FB">
        <w:rPr>
          <w:rFonts w:ascii="MyriadPro-Regular" w:hAnsi="MyriadPro-Regular" w:cs="MyriadPro-Regular"/>
          <w:color w:val="414142"/>
          <w:sz w:val="20"/>
          <w:szCs w:val="20"/>
        </w:rPr>
        <w:t>una</w:t>
      </w:r>
      <w:proofErr w:type="gramEnd"/>
      <w:r w:rsidRPr="002C72FB">
        <w:rPr>
          <w:rFonts w:ascii="MyriadPro-Regular" w:hAnsi="MyriadPro-Regular" w:cs="MyriadPro-Regular"/>
          <w:color w:val="414142"/>
          <w:sz w:val="20"/>
          <w:szCs w:val="20"/>
        </w:rPr>
        <w:t xml:space="preserve"> alta o baja competitividad. Por tanto, las exportaciones fluctúan de acuerdo a la competitividad presente en las diferentes ramas de la actividad económica. Por otra parte, la fluctuación de las exportaciones es resultado de los niveles de competitividad presentes en los diferentes sectores de la economía de un estado o un país, por tal motivo, esta variable se encuentra también integrada al análisis de competitividad estatal de la prioridad 6 “Innovación, Productividad y Competitividad” de este documento.</w:t>
      </w:r>
    </w:p>
    <w:p w14:paraId="12CDBFDC"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El establecimiento de inversiones y el rango logrado en materia de competitividad depende en gran medida de las facilidades para establecer un nuevo </w:t>
      </w:r>
      <w:r w:rsidRPr="002C72FB">
        <w:rPr>
          <w:rFonts w:ascii="MyriadPro-Regular" w:hAnsi="MyriadPro-Regular" w:cs="MyriadPro-Regular"/>
          <w:color w:val="414142"/>
          <w:sz w:val="20"/>
          <w:szCs w:val="20"/>
        </w:rPr>
        <w:lastRenderedPageBreak/>
        <w:t xml:space="preserve">negocio y en general de una buena o mala regulación de la actividad económica. Estas variables participan con otras en la conformación del indicador denominado </w:t>
      </w:r>
      <w:proofErr w:type="spellStart"/>
      <w:r w:rsidRPr="002C72FB">
        <w:rPr>
          <w:rFonts w:ascii="MyriadPro-Regular" w:hAnsi="MyriadPro-Regular" w:cs="MyriadPro-Regular"/>
          <w:color w:val="414142"/>
          <w:sz w:val="20"/>
          <w:szCs w:val="20"/>
        </w:rPr>
        <w:t>Doing</w:t>
      </w:r>
      <w:proofErr w:type="spellEnd"/>
      <w:r w:rsidRPr="002C72FB">
        <w:rPr>
          <w:rFonts w:ascii="MyriadPro-Regular" w:hAnsi="MyriadPro-Regular" w:cs="MyriadPro-Regular"/>
          <w:color w:val="414142"/>
          <w:sz w:val="20"/>
          <w:szCs w:val="20"/>
        </w:rPr>
        <w:t xml:space="preserve"> Business, el cual, también refleja de manera importante la evolución de la citada prioridad. </w:t>
      </w:r>
    </w:p>
    <w:p w14:paraId="7A461C7B" w14:textId="77777777" w:rsidR="00393342" w:rsidRPr="005D3CBA" w:rsidRDefault="00393342" w:rsidP="005D3CBA">
      <w:pPr>
        <w:pStyle w:val="Prrafodelista"/>
        <w:numPr>
          <w:ilvl w:val="0"/>
          <w:numId w:val="21"/>
        </w:numPr>
        <w:spacing w:after="240"/>
        <w:ind w:left="426" w:hanging="426"/>
        <w:jc w:val="both"/>
        <w:rPr>
          <w:rFonts w:ascii="MyriadPro-Regular" w:hAnsi="MyriadPro-Regular" w:cs="MyriadPro-Regular"/>
          <w:b/>
          <w:color w:val="414142"/>
          <w:szCs w:val="20"/>
        </w:rPr>
      </w:pPr>
      <w:r w:rsidRPr="005D3CBA">
        <w:rPr>
          <w:rFonts w:ascii="MyriadPro-Regular" w:hAnsi="MyriadPro-Regular" w:cs="MyriadPro-Regular"/>
          <w:b/>
          <w:color w:val="414142"/>
          <w:szCs w:val="20"/>
        </w:rPr>
        <w:t>Hacia dónde vamos</w:t>
      </w:r>
    </w:p>
    <w:p w14:paraId="6EBF9869"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El potencial del Estado es importante. Tenemos claro que en seis años no se puede realizar un cambio radical, sin embargo, si resolvemos el problema de las finanzas públicas y enfocamos bien nuestras prioridades basadas en nuestra vocación y capacidades, la mejora económica puede ser sustantiva. </w:t>
      </w:r>
    </w:p>
    <w:p w14:paraId="4746EC8E"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El Gobierno del Estado dirigirá sus esfuerzos para sanear las finanzas públicas estatales generando fuentes internas y externas de financiamiento enfocando correctamente sus prioridades hacia una mejora económica sustantiva. La actividad forestal ha impulsado a Michoacán por su importante potencial al desarrollo económico, por lo que se habrán de crear sinergias e integrar cadenas productivas aprovechando el dinamismo de entidades vecinas para generar productos y servicios de mayor valor agregado que compitan en los mercados internos y externos. A la vez, se buscará atraer fuentes externas para invertir estratégicamente en industrias complementarias y conglomerados intensivos en tecnología, teniendo en cuenta las condiciones particulares, los recursos naturales y el capital humano.</w:t>
      </w:r>
    </w:p>
    <w:p w14:paraId="06EDD988"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Nuestro territorio es privilegiado en recursos naturales y tiene un gran potencial de crecimiento dada su posición geográfica, por lo que debe continuar reforzando su posición estratégica en la región centro del país y aprovechar su acceso a los mercados de la Cuenca del Pacífico, entre otros. La recientemente creada Zona Económica Especial del Puerto Lázaro Cárdenas y su área de influencia, también abren expectativas para incrementar las exportaciones y la inversión extranjera directa. Por tanto, el impulso a las exportaciones constituye uno de los objetivos de política pública del presente gobierno para generar empleos de calidad, aumentar la competitividad, agregar valor y eficiencia a la producción y atraer más inversión.</w:t>
      </w:r>
    </w:p>
    <w:p w14:paraId="6DBEF6FE"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 xml:space="preserve">Michoacán tiene una larga tradición migratoria, principalmente hacia los Estados Unidos de América. Se estima que hay más de tres millones de michoacanos viviendo en ese país. Por ello, se </w:t>
      </w:r>
      <w:r w:rsidRPr="002C72FB">
        <w:rPr>
          <w:rFonts w:ascii="MyriadPro-Regular" w:hAnsi="MyriadPro-Regular" w:cs="MyriadPro-Regular"/>
          <w:color w:val="414142"/>
          <w:sz w:val="20"/>
          <w:szCs w:val="20"/>
        </w:rPr>
        <w:lastRenderedPageBreak/>
        <w:t xml:space="preserve">pretende diseñar un instrumento financiero moderno y transparente, que fomente el ahorro de los migrantes y canalice inversiones hacia proyectos productivos rentables en sus comunidades de origen. Los programas diseñados para los jóvenes michoacanos migrantes para fomentar el turismo religioso y de aventura en las regiones del Estado, </w:t>
      </w:r>
      <w:r w:rsidRPr="002C72FB">
        <w:rPr>
          <w:rFonts w:ascii="MyriadPro-Regular" w:hAnsi="MyriadPro-Regular" w:cs="MyriadPro-Regular"/>
          <w:color w:val="414142"/>
          <w:sz w:val="20"/>
          <w:szCs w:val="20"/>
        </w:rPr>
        <w:lastRenderedPageBreak/>
        <w:t xml:space="preserve">serán parte integral de la estrategia para lograr que éstos se reencuentren con sus raíces. </w:t>
      </w:r>
    </w:p>
    <w:p w14:paraId="52165E24" w14:textId="77777777" w:rsidR="00393342" w:rsidRPr="002C72FB" w:rsidRDefault="00393342" w:rsidP="002034DC">
      <w:pPr>
        <w:spacing w:after="160" w:line="240" w:lineRule="auto"/>
        <w:jc w:val="both"/>
        <w:rPr>
          <w:rFonts w:ascii="MyriadPro-Regular" w:hAnsi="MyriadPro-Regular" w:cs="MyriadPro-Regular"/>
          <w:color w:val="414142"/>
          <w:sz w:val="20"/>
          <w:szCs w:val="20"/>
        </w:rPr>
      </w:pPr>
      <w:r w:rsidRPr="002C72FB">
        <w:rPr>
          <w:rFonts w:ascii="MyriadPro-Regular" w:hAnsi="MyriadPro-Regular" w:cs="MyriadPro-Regular"/>
          <w:color w:val="414142"/>
          <w:sz w:val="20"/>
          <w:szCs w:val="20"/>
        </w:rPr>
        <w:t>Para lograr lo anterior se plantean los objetivos, líneas estratégicas y acciones que se muestran en la Tabla 4.2.</w:t>
      </w:r>
    </w:p>
    <w:p w14:paraId="3F266C43" w14:textId="77777777" w:rsidR="00393342" w:rsidRDefault="00393342" w:rsidP="00393342">
      <w:pPr>
        <w:spacing w:after="240"/>
        <w:jc w:val="both"/>
        <w:rPr>
          <w:rFonts w:ascii="GalanoGrotesque-Medium" w:hAnsi="GalanoGrotesque-Medium" w:cs="Arial"/>
        </w:rPr>
      </w:pPr>
    </w:p>
    <w:p w14:paraId="4014105F" w14:textId="77777777" w:rsidR="00393342" w:rsidRDefault="00393342" w:rsidP="00393342">
      <w:pPr>
        <w:spacing w:after="240"/>
        <w:jc w:val="both"/>
        <w:rPr>
          <w:rFonts w:ascii="GalanoGrotesque-Medium" w:hAnsi="GalanoGrotesque-Medium" w:cs="Arial"/>
        </w:rPr>
        <w:sectPr w:rsidR="00393342" w:rsidSect="00393342">
          <w:footnotePr>
            <w:numStart w:val="4"/>
          </w:footnotePr>
          <w:type w:val="continuous"/>
          <w:pgSz w:w="12240" w:h="15840"/>
          <w:pgMar w:top="1418" w:right="1134" w:bottom="1418" w:left="1134" w:header="709" w:footer="709" w:gutter="0"/>
          <w:cols w:num="2" w:space="567"/>
          <w:docGrid w:linePitch="360"/>
        </w:sectPr>
      </w:pPr>
    </w:p>
    <w:p w14:paraId="5CC4D1AB" w14:textId="77777777" w:rsidR="00393342" w:rsidRPr="00D63823" w:rsidRDefault="00393342" w:rsidP="00393342">
      <w:pPr>
        <w:spacing w:after="0" w:line="240" w:lineRule="auto"/>
        <w:jc w:val="center"/>
        <w:rPr>
          <w:rFonts w:ascii="MyriadPro-Regular" w:eastAsia="Times New Roman" w:hAnsi="MyriadPro-Regular" w:cs="Arial"/>
          <w:b/>
          <w:sz w:val="20"/>
          <w:szCs w:val="20"/>
          <w:lang w:eastAsia="es-MX"/>
        </w:rPr>
      </w:pPr>
      <w:r w:rsidRPr="00D63823">
        <w:rPr>
          <w:rFonts w:ascii="MyriadPro-Regular" w:eastAsia="Times New Roman" w:hAnsi="MyriadPro-Regular" w:cs="Arial"/>
          <w:b/>
          <w:sz w:val="20"/>
          <w:szCs w:val="20"/>
          <w:lang w:eastAsia="es-MX"/>
        </w:rPr>
        <w:lastRenderedPageBreak/>
        <w:t>Tabla 4.2</w:t>
      </w:r>
    </w:p>
    <w:p w14:paraId="05AC8011" w14:textId="77777777" w:rsidR="00393342" w:rsidRPr="00D63823" w:rsidRDefault="00393342" w:rsidP="00393342">
      <w:pPr>
        <w:spacing w:after="0" w:line="240" w:lineRule="auto"/>
        <w:jc w:val="center"/>
        <w:rPr>
          <w:rFonts w:ascii="MyriadPro-Regular" w:eastAsia="Times New Roman" w:hAnsi="MyriadPro-Regular" w:cs="Arial"/>
          <w:b/>
          <w:sz w:val="20"/>
          <w:szCs w:val="20"/>
          <w:lang w:eastAsia="es-MX"/>
        </w:rPr>
      </w:pPr>
      <w:r w:rsidRPr="00D63823">
        <w:rPr>
          <w:rFonts w:ascii="MyriadPro-Regular" w:eastAsia="Times New Roman" w:hAnsi="MyriadPro-Regular" w:cs="Arial"/>
          <w:b/>
          <w:sz w:val="20"/>
          <w:szCs w:val="20"/>
          <w:lang w:eastAsia="es-MX"/>
        </w:rPr>
        <w:t>Objetivos, Líneas Estratégicas y Acciones</w:t>
      </w:r>
    </w:p>
    <w:tbl>
      <w:tblPr>
        <w:tblW w:w="9157"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157"/>
      </w:tblGrid>
      <w:tr w:rsidR="00393342" w:rsidRPr="00393342" w14:paraId="589A6255" w14:textId="77777777" w:rsidTr="00E47EF3">
        <w:trPr>
          <w:trHeight w:val="476"/>
          <w:jc w:val="center"/>
        </w:trPr>
        <w:tc>
          <w:tcPr>
            <w:tcW w:w="9157" w:type="dxa"/>
            <w:tcBorders>
              <w:top w:val="nil"/>
              <w:left w:val="single" w:sz="4" w:space="0" w:color="auto"/>
              <w:bottom w:val="single" w:sz="4" w:space="0" w:color="auto"/>
              <w:right w:val="single" w:sz="4" w:space="0" w:color="auto"/>
            </w:tcBorders>
            <w:shd w:val="clear" w:color="auto" w:fill="723177"/>
          </w:tcPr>
          <w:p w14:paraId="45B9B1B7" w14:textId="77777777" w:rsidR="00393342" w:rsidRPr="00D63823" w:rsidRDefault="00393342" w:rsidP="00393342">
            <w:pPr>
              <w:spacing w:after="0" w:line="240" w:lineRule="auto"/>
              <w:rPr>
                <w:rFonts w:ascii="MyriadPro-Regular" w:eastAsia="Times New Roman" w:hAnsi="MyriadPro-Regular" w:cs="Arial"/>
                <w:sz w:val="20"/>
                <w:szCs w:val="20"/>
                <w:lang w:eastAsia="es-MX"/>
              </w:rPr>
            </w:pPr>
          </w:p>
          <w:p w14:paraId="7FE39364" w14:textId="77777777" w:rsidR="00393342" w:rsidRPr="00D63823" w:rsidRDefault="00393342" w:rsidP="00393342">
            <w:pPr>
              <w:spacing w:after="0" w:line="240" w:lineRule="auto"/>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Prioridad 4: Desarrollo económico, inversión y empleo digno.</w:t>
            </w:r>
          </w:p>
        </w:tc>
      </w:tr>
      <w:tr w:rsidR="00393342" w:rsidRPr="00393342" w14:paraId="689C5C46"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35BB2C39" w14:textId="77777777" w:rsidR="00393342" w:rsidRPr="00D63823" w:rsidRDefault="00393342" w:rsidP="00393342">
            <w:pPr>
              <w:spacing w:after="0" w:line="240" w:lineRule="auto"/>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Objetivo</w:t>
            </w:r>
          </w:p>
        </w:tc>
      </w:tr>
      <w:tr w:rsidR="00393342" w:rsidRPr="00393342" w14:paraId="22AA2308"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tcPr>
          <w:p w14:paraId="518CD3E7" w14:textId="77777777" w:rsidR="00393342" w:rsidRPr="00D63823" w:rsidRDefault="00393342" w:rsidP="00393342">
            <w:pPr>
              <w:spacing w:after="0" w:line="240" w:lineRule="auto"/>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 Reactivar la economía para alcanzar el desarrollo integral del Estado.</w:t>
            </w:r>
          </w:p>
        </w:tc>
      </w:tr>
      <w:tr w:rsidR="00393342" w:rsidRPr="00393342" w14:paraId="708780F6"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740EA2C6" w14:textId="77777777" w:rsidR="00393342" w:rsidRPr="00D63823" w:rsidRDefault="00393342" w:rsidP="00393342">
            <w:pPr>
              <w:spacing w:after="0" w:line="240" w:lineRule="auto"/>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 xml:space="preserve">Línea estratégica </w:t>
            </w:r>
          </w:p>
        </w:tc>
      </w:tr>
      <w:tr w:rsidR="00393342" w:rsidRPr="00393342" w14:paraId="42AD2CEE"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tcPr>
          <w:p w14:paraId="196B4119" w14:textId="77777777" w:rsidR="00393342" w:rsidRPr="00D63823" w:rsidRDefault="00393342" w:rsidP="00393342">
            <w:pPr>
              <w:spacing w:after="0" w:line="240" w:lineRule="auto"/>
              <w:ind w:left="487"/>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4.1.1 Consolidar al Sector Agropecuario de manera sostenible.</w:t>
            </w:r>
          </w:p>
        </w:tc>
      </w:tr>
      <w:tr w:rsidR="00393342" w:rsidRPr="00393342" w14:paraId="36B57C4B"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08A17FEE" w14:textId="77777777" w:rsidR="00393342" w:rsidRPr="00D63823" w:rsidRDefault="00393342" w:rsidP="00393342">
            <w:pPr>
              <w:spacing w:after="0" w:line="240" w:lineRule="auto"/>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Acciones</w:t>
            </w:r>
          </w:p>
        </w:tc>
      </w:tr>
      <w:tr w:rsidR="00393342" w:rsidRPr="00393342" w14:paraId="788A5416"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tcPr>
          <w:p w14:paraId="6B6E10E0" w14:textId="77777777" w:rsidR="00393342" w:rsidRPr="00D63823" w:rsidRDefault="00393342" w:rsidP="00393342">
            <w:pPr>
              <w:spacing w:after="0" w:line="240" w:lineRule="auto"/>
              <w:ind w:left="1985" w:hanging="851"/>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4.1.1.1 Industrializar y tecnificar el sector primario con el fin de lograr una mayor competitividad.</w:t>
            </w:r>
          </w:p>
        </w:tc>
      </w:tr>
      <w:tr w:rsidR="00393342" w:rsidRPr="00393342" w14:paraId="4C71D9B4"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tcPr>
          <w:p w14:paraId="6DC8D3CA" w14:textId="77777777" w:rsidR="00393342" w:rsidRPr="00D63823" w:rsidRDefault="00393342" w:rsidP="00393342">
            <w:pPr>
              <w:spacing w:after="0" w:line="240" w:lineRule="auto"/>
              <w:ind w:left="1985" w:hanging="851"/>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4.1.1.2 Promover el uso eficiente del agua para riego aplicando nuevas tecnologías.</w:t>
            </w:r>
          </w:p>
        </w:tc>
      </w:tr>
      <w:tr w:rsidR="00393342" w:rsidRPr="00393342" w14:paraId="5B8EB012"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tcPr>
          <w:p w14:paraId="46B9A8D4" w14:textId="77777777" w:rsidR="00393342" w:rsidRPr="00D63823" w:rsidRDefault="00393342" w:rsidP="00393342">
            <w:pPr>
              <w:spacing w:after="0" w:line="240" w:lineRule="auto"/>
              <w:ind w:left="1985" w:hanging="851"/>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 xml:space="preserve">4.1.1.3 Promover activamente un uso racional y sustentable de los agroquímicos, sustituyéndolos gradualmente por </w:t>
            </w:r>
            <w:proofErr w:type="spellStart"/>
            <w:r w:rsidRPr="00D63823">
              <w:rPr>
                <w:rFonts w:ascii="MyriadPro-Regular" w:eastAsia="Times New Roman" w:hAnsi="MyriadPro-Regular" w:cs="Arial"/>
                <w:sz w:val="20"/>
                <w:szCs w:val="20"/>
                <w:lang w:eastAsia="es-MX"/>
              </w:rPr>
              <w:t>biofertilizantes</w:t>
            </w:r>
            <w:proofErr w:type="spellEnd"/>
            <w:r w:rsidRPr="00D63823">
              <w:rPr>
                <w:rFonts w:ascii="MyriadPro-Regular" w:eastAsia="Times New Roman" w:hAnsi="MyriadPro-Regular" w:cs="Arial"/>
                <w:sz w:val="20"/>
                <w:szCs w:val="20"/>
                <w:lang w:eastAsia="es-MX"/>
              </w:rPr>
              <w:t xml:space="preserve"> y soluciones orgánicas.</w:t>
            </w:r>
          </w:p>
        </w:tc>
      </w:tr>
      <w:tr w:rsidR="00393342" w:rsidRPr="00393342" w14:paraId="4A3F1E60"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tcPr>
          <w:p w14:paraId="0C058154" w14:textId="77777777" w:rsidR="00393342" w:rsidRPr="00D63823" w:rsidRDefault="00393342" w:rsidP="00393342">
            <w:pPr>
              <w:spacing w:after="0" w:line="240" w:lineRule="auto"/>
              <w:ind w:left="1985" w:hanging="851"/>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4.1.1.4 Asegurar la sanidad e inocuidad agroalimentaria.</w:t>
            </w:r>
          </w:p>
        </w:tc>
      </w:tr>
      <w:tr w:rsidR="00393342" w:rsidRPr="00393342" w14:paraId="45141EE1"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tcPr>
          <w:p w14:paraId="727D1ED1" w14:textId="77777777" w:rsidR="00393342" w:rsidRPr="00D63823" w:rsidRDefault="00393342" w:rsidP="00393342">
            <w:pPr>
              <w:spacing w:after="0" w:line="240" w:lineRule="auto"/>
              <w:ind w:left="1985" w:hanging="851"/>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 xml:space="preserve">4.1.1.5 Impulsar programas de fomento y desarrollo a pequeños y medianos productores del sector primario. </w:t>
            </w:r>
          </w:p>
        </w:tc>
      </w:tr>
      <w:tr w:rsidR="00393342" w:rsidRPr="00393342" w14:paraId="5B18565F"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tcPr>
          <w:p w14:paraId="2FF16765" w14:textId="77777777" w:rsidR="00393342" w:rsidRPr="00D63823" w:rsidRDefault="00393342" w:rsidP="00393342">
            <w:pPr>
              <w:spacing w:after="0" w:line="240" w:lineRule="auto"/>
              <w:ind w:left="1985" w:hanging="851"/>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4.1.1.6 Priorizar esquemas novedosos de agrupación de productores y  volumen de producción y comercialización.</w:t>
            </w:r>
          </w:p>
        </w:tc>
      </w:tr>
      <w:tr w:rsidR="00393342" w:rsidRPr="00393342" w14:paraId="21E885B2"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tcPr>
          <w:p w14:paraId="4FB65BB1" w14:textId="77777777" w:rsidR="00393342" w:rsidRPr="00D63823" w:rsidRDefault="00393342" w:rsidP="00393342">
            <w:pPr>
              <w:spacing w:after="0" w:line="240" w:lineRule="auto"/>
              <w:ind w:left="1985" w:hanging="851"/>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4.1.1.7 Recuperar la vocación ganadera y lechera de zonas con pastizales naturales, climas propicios y tradición productiva introduciendo métodos y prácticas que preserven los recursos naturales.</w:t>
            </w:r>
          </w:p>
        </w:tc>
      </w:tr>
      <w:tr w:rsidR="00393342" w:rsidRPr="00393342" w14:paraId="5807E53A"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tcPr>
          <w:p w14:paraId="705DC2D2" w14:textId="77777777" w:rsidR="00393342" w:rsidRPr="00D63823" w:rsidRDefault="00393342" w:rsidP="00393342">
            <w:pPr>
              <w:tabs>
                <w:tab w:val="left" w:pos="913"/>
              </w:tabs>
              <w:spacing w:after="0" w:line="240" w:lineRule="auto"/>
              <w:ind w:left="2014" w:hanging="851"/>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 xml:space="preserve">4.1.1.8 Integrar cadenas productivas en lo pecuario asegurando el bienestar animal con el fin de salvaguardar la inocuidad y la calidad de la producción pecuaria. </w:t>
            </w:r>
          </w:p>
        </w:tc>
      </w:tr>
      <w:tr w:rsidR="00393342" w:rsidRPr="00393342" w14:paraId="757180E5"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41F1D47C" w14:textId="77777777" w:rsidR="00393342" w:rsidRPr="00D63823" w:rsidRDefault="00393342" w:rsidP="00393342">
            <w:pPr>
              <w:spacing w:after="0" w:line="240" w:lineRule="auto"/>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Línea estratégica</w:t>
            </w:r>
          </w:p>
        </w:tc>
      </w:tr>
      <w:tr w:rsidR="00393342" w:rsidRPr="00393342" w14:paraId="0185B1BD" w14:textId="77777777" w:rsidTr="00E47EF3">
        <w:trPr>
          <w:jc w:val="center"/>
        </w:trPr>
        <w:tc>
          <w:tcPr>
            <w:tcW w:w="9157" w:type="dxa"/>
            <w:tcBorders>
              <w:top w:val="single" w:sz="4" w:space="0" w:color="auto"/>
              <w:left w:val="single" w:sz="4" w:space="0" w:color="auto"/>
              <w:bottom w:val="single" w:sz="4" w:space="0" w:color="auto"/>
              <w:right w:val="single" w:sz="4" w:space="0" w:color="auto"/>
            </w:tcBorders>
          </w:tcPr>
          <w:p w14:paraId="1E6AC7F5" w14:textId="77777777" w:rsidR="00393342" w:rsidRPr="00D63823" w:rsidRDefault="00393342" w:rsidP="00393342">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4.1.2 Fomentar activamente inversiones estratégicas en la industria agroalimentaria, generando un mayor valor agregado.</w:t>
            </w:r>
          </w:p>
        </w:tc>
      </w:tr>
      <w:tr w:rsidR="005D3CBA" w:rsidRPr="001E7327" w14:paraId="02D02AEC"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010047D3"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Acciones</w:t>
            </w:r>
          </w:p>
        </w:tc>
      </w:tr>
      <w:tr w:rsidR="005D3CBA" w:rsidRPr="001E7327" w14:paraId="55B109D2"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070B405E"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4.1.2.1 Fomentar la alineación de formación y especialización de capital humano con las necesidades de los sectores en especial enfocados a la industria agroalimentaria.</w:t>
            </w:r>
          </w:p>
        </w:tc>
      </w:tr>
      <w:tr w:rsidR="005D3CBA" w:rsidRPr="001E7327" w14:paraId="41C9117D"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03D29C76"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4.1.2.2 Promover la atracción de la inversión nacional y extranjera en diversas ramas agroindustriales que generen mayor valor agregado, competitividad y eslabonamiento de cadenas productivas.</w:t>
            </w:r>
          </w:p>
        </w:tc>
      </w:tr>
      <w:tr w:rsidR="005D3CBA" w:rsidRPr="001E7327" w14:paraId="6F7D275F"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59B0D235"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4.1.2.3 Promover el desarrollo de los servicios del Centro de Investigación y Desarrollo Agroalimentario y de otros centros de ingeniería, diseño, investigación, desarrollo, servicios, capacitación, innovación e impacto transversal.</w:t>
            </w:r>
          </w:p>
        </w:tc>
      </w:tr>
      <w:tr w:rsidR="005D3CBA" w:rsidRPr="005D3CBA" w14:paraId="07A1C231"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2F5C6BD6"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Línea estratégica</w:t>
            </w:r>
          </w:p>
        </w:tc>
      </w:tr>
      <w:tr w:rsidR="005D3CBA" w:rsidRPr="001E7327" w14:paraId="15C9491C"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63A39649"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4.1.3 Recuperar la vocación forestal del Estado promoviendo el uso sustentable de los bosques, selvas, mezquitales, otros ecosistemas y recursos asociados.</w:t>
            </w:r>
          </w:p>
        </w:tc>
      </w:tr>
      <w:tr w:rsidR="005D3CBA" w:rsidRPr="005D3CBA" w14:paraId="22AE6C04"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660681CC"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Acciones</w:t>
            </w:r>
          </w:p>
        </w:tc>
      </w:tr>
      <w:tr w:rsidR="005D3CBA" w:rsidRPr="001E7327" w14:paraId="018DCF80"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1872A76D"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4.1.3.1 Fortalecer  los programas e incentivos  de gobierno para incorporar áreas al manejo técnico silvícola e impulsar los aprovechamientos forestales maderables y no maderables, (resina y otros).</w:t>
            </w:r>
          </w:p>
        </w:tc>
      </w:tr>
      <w:tr w:rsidR="005D3CBA" w:rsidRPr="001E7327" w14:paraId="0DE15AC7"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385E1F3E"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4.1.3.2 Integrar cadenas productivas tecnificando y apoyando a los eslabones intermedios.</w:t>
            </w:r>
          </w:p>
        </w:tc>
      </w:tr>
      <w:tr w:rsidR="005D3CBA" w:rsidRPr="001E7327" w14:paraId="3803AC7A"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19644DA7" w14:textId="77777777" w:rsidR="005D3CBA" w:rsidRPr="00D63823" w:rsidRDefault="005D3CBA" w:rsidP="005D3CBA">
            <w:pPr>
              <w:ind w:left="1055" w:hanging="629"/>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lastRenderedPageBreak/>
              <w:t>4.1.3.3 Promover la participación de las comunidades en las actividades forestales sustentables; reforestación, restauración y protección contra incendios, plagas y enfermedades forestales, para incrementar la productividad de los bosques y selvas del Estado.</w:t>
            </w:r>
          </w:p>
        </w:tc>
      </w:tr>
      <w:tr w:rsidR="005D3CBA" w:rsidRPr="001E7327" w14:paraId="171EB5A9"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7FFC8F9F" w14:textId="77777777" w:rsidR="005D3CBA" w:rsidRPr="00D63823" w:rsidRDefault="005D3CBA" w:rsidP="005D3CBA">
            <w:pPr>
              <w:ind w:left="1055" w:hanging="629"/>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 xml:space="preserve">4.1.3.4 Ordenar, regularizar y modernizar la industria forestal establecida, fortaleciendo las cadenas productivas para generar empleo y productos con mayor valor agregado que compitan en el mercado nacional e internacional. </w:t>
            </w:r>
          </w:p>
        </w:tc>
      </w:tr>
      <w:tr w:rsidR="005D3CBA" w:rsidRPr="001E7327" w14:paraId="79A29310"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102BC148" w14:textId="77777777" w:rsidR="005D3CBA" w:rsidRPr="00D63823" w:rsidRDefault="005D3CBA" w:rsidP="005D3CBA">
            <w:pPr>
              <w:ind w:left="1055" w:hanging="629"/>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4.1.3.5 Promover a la industria del mueble, tanto comercial como artesanal. Capacitar a los artesanos, facilitando la comercialización con productos de calidad y funcionales.</w:t>
            </w:r>
          </w:p>
        </w:tc>
      </w:tr>
      <w:tr w:rsidR="005D3CBA" w:rsidRPr="001E7327" w14:paraId="69BFC92F"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6CF0B795" w14:textId="77777777" w:rsidR="005D3CBA" w:rsidRPr="00D63823" w:rsidRDefault="005D3CBA" w:rsidP="005D3CBA">
            <w:pPr>
              <w:ind w:left="1055" w:hanging="629"/>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4.1.3.6 Promover la organización productiva, capacitación y asistencia técnica forestal.</w:t>
            </w:r>
          </w:p>
        </w:tc>
      </w:tr>
      <w:tr w:rsidR="005D3CBA" w:rsidRPr="001E7327" w14:paraId="00600C74"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7D960C3A"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4.1.3.7 Impulsar la reconversión de terrenos forestales y agropecuarios mediante el establecimiento de programas de mejora genética de plantas y plantaciones forestales comerciales.</w:t>
            </w:r>
          </w:p>
        </w:tc>
      </w:tr>
      <w:tr w:rsidR="005D3CBA" w:rsidRPr="001E7327" w14:paraId="133F1A0B"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7FCA6985" w14:textId="77777777" w:rsidR="005D3CBA" w:rsidRPr="00D63823" w:rsidRDefault="005D3CBA" w:rsidP="005D3CBA">
            <w:pPr>
              <w:ind w:left="1055" w:hanging="629"/>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4.1.3.8 Establecer e instrumentar un programa estratégico de fomento a la producción de plantas con un alto valor de mercado, ejemplo: plantas medicinales con valor farmacéutico y/o nutricional.</w:t>
            </w:r>
          </w:p>
        </w:tc>
      </w:tr>
      <w:tr w:rsidR="005D3CBA" w:rsidRPr="001E7327" w14:paraId="2914F4F5"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76D6CA1F" w14:textId="77777777" w:rsidR="005D3CBA" w:rsidRPr="00D63823" w:rsidRDefault="005D3CBA" w:rsidP="005D3CBA">
            <w:pPr>
              <w:ind w:left="1055" w:hanging="629"/>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4.1.3.9 Delimitar cuencas de abastecimiento y establecer centros de acopio de materia prima forestal para el suministro preferente de la media y pequeña industria.</w:t>
            </w:r>
          </w:p>
        </w:tc>
      </w:tr>
      <w:tr w:rsidR="005D3CBA" w:rsidRPr="005D3CBA" w14:paraId="1CB31951"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240631D9"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Línea estratégica</w:t>
            </w:r>
          </w:p>
        </w:tc>
      </w:tr>
      <w:tr w:rsidR="005D3CBA" w:rsidRPr="001E7327" w14:paraId="0DB07BB6"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1DDEF6D8"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4.1.4 Desarrollar otros sectores con potencial productivo relevante.</w:t>
            </w:r>
          </w:p>
        </w:tc>
      </w:tr>
      <w:tr w:rsidR="005D3CBA" w:rsidRPr="005D3CBA" w14:paraId="38BF0CB7"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4686B448"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Acciones</w:t>
            </w:r>
          </w:p>
        </w:tc>
      </w:tr>
      <w:tr w:rsidR="005D3CBA" w:rsidRPr="001E7327" w14:paraId="024E2634"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1457AB2A"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4.1.4.1 Desarrollar y potenciar proyectos acuícolas utilizando nuestros lagos y presas con un enfoque de exportación y transformación de los residuos para generar una oferta de productos elaborados.</w:t>
            </w:r>
          </w:p>
        </w:tc>
      </w:tr>
      <w:tr w:rsidR="005D3CBA" w:rsidRPr="001E7327" w14:paraId="59766F21"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0B1C585C"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4.1.4.2 Apoyar la pesca ribereña en la costa del Estado y generar opciones de eslabonamientos a base de cadenas de frío y apoyos directos.</w:t>
            </w:r>
          </w:p>
        </w:tc>
      </w:tr>
      <w:tr w:rsidR="005D3CBA" w:rsidRPr="001E7327" w14:paraId="1602662B"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2F922E2E"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4.1.4.3 Reordenar al sector minero revisando en coordinación con la federación las concesiones mineras y apoyando proyectos mineros sustentables principalmente en la zona de tierra caliente, sierra costa y en el oriente.</w:t>
            </w:r>
          </w:p>
        </w:tc>
      </w:tr>
      <w:tr w:rsidR="005D3CBA" w:rsidRPr="005D3CBA" w14:paraId="6F31BD92"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75162FB9"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Línea estratégica</w:t>
            </w:r>
          </w:p>
        </w:tc>
      </w:tr>
      <w:tr w:rsidR="005D3CBA" w:rsidRPr="001E7327" w14:paraId="2CBB89E9"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6242837F"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4.1.5 Aprovechar nuestro potencial turístico.</w:t>
            </w:r>
          </w:p>
        </w:tc>
      </w:tr>
      <w:tr w:rsidR="005D3CBA" w:rsidRPr="005D3CBA" w14:paraId="5C069674"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31A68344"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Acciones</w:t>
            </w:r>
          </w:p>
        </w:tc>
      </w:tr>
      <w:tr w:rsidR="005D3CBA" w:rsidRPr="001E7327" w14:paraId="794CCA30"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03C6B650"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 xml:space="preserve">4.1.5.1 Diseñar, promover e invertir, con la participación del sector privado, en nuevos espacios y productos turísticos de talla internacional, como es la Presa del Bosque, Santuario de la Mariposa Monarca y San José </w:t>
            </w:r>
            <w:proofErr w:type="spellStart"/>
            <w:r w:rsidRPr="00D63823">
              <w:rPr>
                <w:rFonts w:ascii="MyriadPro-Regular" w:eastAsia="Times New Roman" w:hAnsi="MyriadPro-Regular" w:cs="Arial"/>
                <w:sz w:val="20"/>
                <w:szCs w:val="20"/>
                <w:lang w:eastAsia="es-MX"/>
              </w:rPr>
              <w:t>Purúa</w:t>
            </w:r>
            <w:proofErr w:type="spellEnd"/>
            <w:r w:rsidRPr="00D63823">
              <w:rPr>
                <w:rFonts w:ascii="MyriadPro-Regular" w:eastAsia="Times New Roman" w:hAnsi="MyriadPro-Regular" w:cs="Arial"/>
                <w:sz w:val="20"/>
                <w:szCs w:val="20"/>
                <w:lang w:eastAsia="es-MX"/>
              </w:rPr>
              <w:t>.</w:t>
            </w:r>
          </w:p>
        </w:tc>
      </w:tr>
      <w:tr w:rsidR="005D3CBA" w:rsidRPr="001E7327" w14:paraId="16A09B92"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11F59D4F"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4.1.5.2 Generar inversión en obras y acciones para el turismo sustentable, ecológico y de aventura.</w:t>
            </w:r>
          </w:p>
        </w:tc>
      </w:tr>
      <w:tr w:rsidR="005D3CBA" w:rsidRPr="001E7327" w14:paraId="14F1A7F7"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2A7CE889"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4.1.5.3 Incrementar la inversión en Áreas Naturales Protegidas para elevar la oferta turística.</w:t>
            </w:r>
          </w:p>
        </w:tc>
      </w:tr>
      <w:tr w:rsidR="005D3CBA" w:rsidRPr="001E7327" w14:paraId="4F21CAC3"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15C55A31"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4.1.5.4 Generar nuevos esquemas de promoción turística destinados a residencias para personas retiradas y el turismo médico.</w:t>
            </w:r>
          </w:p>
        </w:tc>
      </w:tr>
      <w:tr w:rsidR="005D3CBA" w:rsidRPr="001E7327" w14:paraId="048B08F1"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5E6C872F"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4.1.5.5 Desarrollar programas para jóvenes michoacanos hijos de migrantes para reencontrarse con sus raíces; así como para jóvenes extranjeros para el turismo religioso y de aventura en todas las regiones del Estado.</w:t>
            </w:r>
          </w:p>
        </w:tc>
      </w:tr>
      <w:tr w:rsidR="005D3CBA" w:rsidRPr="001E7327" w14:paraId="6B7ED514"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64E2CA7C"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4.1.5.6 Fortalecer los festivales artísticos, tianguis y muestras artesanales y culturales para fomentar el turismo cultural responsable y llevarlos a la mayor parte de municipios del Estado.</w:t>
            </w:r>
          </w:p>
        </w:tc>
      </w:tr>
      <w:tr w:rsidR="005D3CBA" w:rsidRPr="001E7327" w14:paraId="44625022"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7BC15EE4"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lastRenderedPageBreak/>
              <w:t>4.1.5.7 Conservar, difundir y preservar el patrimonio material e inmaterial y reconvertir edificios históricos en instituciones dedicadas a promover las artes, la cultura y el turismo, siempre cuidando su preservación.</w:t>
            </w:r>
          </w:p>
        </w:tc>
      </w:tr>
      <w:tr w:rsidR="005D3CBA" w:rsidRPr="001E7327" w14:paraId="0E86FD57"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0AA8F335"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4.1.5.8  Diseñar la Ruta Artesanal Michoacana como atractivo turístico.</w:t>
            </w:r>
          </w:p>
        </w:tc>
      </w:tr>
      <w:tr w:rsidR="005D3CBA" w:rsidRPr="001E7327" w14:paraId="1BF4E602"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6BB1B836"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4.1.5.9 Promover turística, económica, científica, tecnológica y culturalmente al Estado mediante la atracción y realización de eventos, fortaleciendo la infraestructura para  el desarrollo de negocios, inversiones e intercambio internacional de cultura, bienes y servicios.</w:t>
            </w:r>
          </w:p>
        </w:tc>
      </w:tr>
      <w:tr w:rsidR="005D3CBA" w:rsidRPr="005D3CBA" w14:paraId="37D8B315"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1D288DE8"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Línea estratégica</w:t>
            </w:r>
          </w:p>
        </w:tc>
      </w:tr>
      <w:tr w:rsidR="005D3CBA" w:rsidRPr="001E7327" w14:paraId="2EBB61CE"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0F5AF025"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4.1.6 Potencializar el desarrollo regional y detonar nuevas industrias.</w:t>
            </w:r>
          </w:p>
        </w:tc>
      </w:tr>
      <w:tr w:rsidR="005D3CBA" w:rsidRPr="005D3CBA" w14:paraId="5E14BF85"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65A3F5AC"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Acciones</w:t>
            </w:r>
          </w:p>
        </w:tc>
      </w:tr>
      <w:tr w:rsidR="005D3CBA" w:rsidRPr="001E7327" w14:paraId="03E72FFC"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5D042AB4"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4.1.6.1 Promover la generación de energías renovables con el fin de lograr mayor competitividad de la industria del Estado y de exportación de energía limpia a otros Estados.</w:t>
            </w:r>
          </w:p>
        </w:tc>
      </w:tr>
      <w:tr w:rsidR="005D3CBA" w:rsidRPr="001E7327" w14:paraId="4727722A"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57287BEF"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4.1.6.2 Promover e invertir en proyectos productivos integrales que utilicen la vocación de las distintas regiones.</w:t>
            </w:r>
          </w:p>
        </w:tc>
      </w:tr>
      <w:tr w:rsidR="005D3CBA" w:rsidRPr="001E7327" w14:paraId="54B3B799"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4F539624"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4.1.6.3 Promover inversiones en industrias complementarias a conglomerados intensivos en tecnología ya existentes en la Entidad, y en Estados vecinos aprovechando las condiciones particulares de cada región, los recursos naturales y humanos existentes, y la localización estratégica de sitios a desarrollar.</w:t>
            </w:r>
          </w:p>
        </w:tc>
      </w:tr>
      <w:tr w:rsidR="005D3CBA" w:rsidRPr="001E7327" w14:paraId="7E3B0225"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0D973E3A"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4.1.6.4 Desarrollar e incrementar la infraestructura urbana y de servicios de la Zona Económica Especial de Lázaro Cárdenas y su zona de influencia, para potencializar el desarrollo integral local y regional para la inserción  internacional del Estado y la zona centro del país.</w:t>
            </w:r>
          </w:p>
        </w:tc>
      </w:tr>
      <w:tr w:rsidR="005D3CBA" w:rsidRPr="005D3CBA" w14:paraId="5C585C6E"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38CE45CB"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Objetivo</w:t>
            </w:r>
          </w:p>
        </w:tc>
      </w:tr>
      <w:tr w:rsidR="005D3CBA" w:rsidRPr="001E7327" w14:paraId="307B8A1F"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44DEC014"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 Generar confianza y seguridad para preservar e incrementar la planta productiva.</w:t>
            </w:r>
          </w:p>
        </w:tc>
      </w:tr>
      <w:tr w:rsidR="005D3CBA" w:rsidRPr="005D3CBA" w14:paraId="420AF7F1"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0E6E8C59"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Línea estratégica</w:t>
            </w:r>
          </w:p>
        </w:tc>
      </w:tr>
      <w:tr w:rsidR="005D3CBA" w:rsidRPr="001E7327" w14:paraId="7B0DE8F0"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39D6A893"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4.2.1 Detonar la Economía Social.</w:t>
            </w:r>
          </w:p>
        </w:tc>
      </w:tr>
      <w:tr w:rsidR="005D3CBA" w:rsidRPr="005D3CBA" w14:paraId="3B1BCD24"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5FAE41B6"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Acciones</w:t>
            </w:r>
          </w:p>
        </w:tc>
      </w:tr>
      <w:tr w:rsidR="005D3CBA" w:rsidRPr="001E7327" w14:paraId="085122A0"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3499B8BE"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4.2.1.1 Diseñar un instrumento financiero moderno y transparente, que fomente el ahorro de los migrantes y canalice inversiones hacia proyectos productivos rentables en sus comunidades de origen.</w:t>
            </w:r>
          </w:p>
        </w:tc>
      </w:tr>
      <w:tr w:rsidR="005D3CBA" w:rsidRPr="001E7327" w14:paraId="33D5DD6C"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2BAA002F"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4.2.1.2 Fortalecer la producción local y su comercialización directa con el fin de incrementar la retribución al productor y bajar los costos al consumidor.</w:t>
            </w:r>
          </w:p>
        </w:tc>
      </w:tr>
      <w:tr w:rsidR="005D3CBA" w:rsidRPr="001E7327" w14:paraId="3BDAAD89"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2E9C439D"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4.2.1.3 Establecer programas integrales de apoyo y reactivación de la MIPYMES.</w:t>
            </w:r>
          </w:p>
        </w:tc>
      </w:tr>
      <w:tr w:rsidR="005D3CBA" w:rsidRPr="001E7327" w14:paraId="6C7A36D6"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4F402FE5"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 xml:space="preserve">4.2.1.4 Vincular a los jóvenes y a las mujeres con el sector productivo, la ciencia y la tecnología, promoviendo el </w:t>
            </w:r>
            <w:proofErr w:type="spellStart"/>
            <w:r w:rsidRPr="00D63823">
              <w:rPr>
                <w:rFonts w:ascii="MyriadPro-Regular" w:eastAsia="Times New Roman" w:hAnsi="MyriadPro-Regular" w:cs="Arial"/>
                <w:sz w:val="20"/>
                <w:szCs w:val="20"/>
                <w:lang w:eastAsia="es-MX"/>
              </w:rPr>
              <w:t>emprendedurismo</w:t>
            </w:r>
            <w:proofErr w:type="spellEnd"/>
            <w:r w:rsidRPr="00D63823">
              <w:rPr>
                <w:rFonts w:ascii="MyriadPro-Regular" w:eastAsia="Times New Roman" w:hAnsi="MyriadPro-Regular" w:cs="Arial"/>
                <w:sz w:val="20"/>
                <w:szCs w:val="20"/>
                <w:lang w:eastAsia="es-MX"/>
              </w:rPr>
              <w:t>.</w:t>
            </w:r>
          </w:p>
        </w:tc>
      </w:tr>
      <w:tr w:rsidR="005D3CBA" w:rsidRPr="001E7327" w14:paraId="572B73CD"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279696FF"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4.2.1.5 Instrumentar esquemas innovadores para insertar a los productores y artesanos michoacanos en el mercado nacional e internacional.</w:t>
            </w:r>
          </w:p>
        </w:tc>
      </w:tr>
      <w:tr w:rsidR="005D3CBA" w:rsidRPr="001E7327" w14:paraId="44523B96"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39065E08"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4.2.1.6 Generar e impulsar las empresas culturales y talleres artesanales con créditos, apoyos e incentivos.</w:t>
            </w:r>
          </w:p>
        </w:tc>
      </w:tr>
      <w:tr w:rsidR="005D3CBA" w:rsidRPr="001E7327" w14:paraId="15CB36F1"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21C4CBCD"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4.2.1.7 Impulsar la participación laboral de los grupos en situación de vulnerabilidad y/o de atención prioritaria.</w:t>
            </w:r>
          </w:p>
        </w:tc>
      </w:tr>
      <w:tr w:rsidR="005D3CBA" w:rsidRPr="001E7327" w14:paraId="275DDB2D"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30076942"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4.2.1.8 Promover esquemas de cooperativismo como medio para lograr que los productores obtengan mayores beneficios.</w:t>
            </w:r>
          </w:p>
        </w:tc>
      </w:tr>
      <w:tr w:rsidR="005D3CBA" w:rsidRPr="001E7327" w14:paraId="6DE0BF1F"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56AE0ACA" w14:textId="77777777" w:rsidR="005D3CBA" w:rsidRPr="00D63823" w:rsidRDefault="005D3CBA" w:rsidP="005D3CBA">
            <w:pPr>
              <w:ind w:left="1055" w:hanging="629"/>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4.2.1.9 Fortalecer la certeza jurídica de la propiedad a través de la modernización del Registro Público de la Propiedad.</w:t>
            </w:r>
          </w:p>
        </w:tc>
      </w:tr>
      <w:tr w:rsidR="005D3CBA" w:rsidRPr="005D3CBA" w14:paraId="40C6C2D7"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6210FD00"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Línea estratégica</w:t>
            </w:r>
          </w:p>
        </w:tc>
      </w:tr>
      <w:tr w:rsidR="005D3CBA" w:rsidRPr="001E7327" w14:paraId="012542B0"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242D83C8"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4.2.2 Recuperar y fortalecer la situación financiera del Estado así como la confianza frente a los Inversionistas y mercados financieros.</w:t>
            </w:r>
          </w:p>
        </w:tc>
      </w:tr>
      <w:tr w:rsidR="005D3CBA" w:rsidRPr="005D3CBA" w14:paraId="695DE139"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0D7C01CE"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Acciones</w:t>
            </w:r>
          </w:p>
        </w:tc>
      </w:tr>
      <w:tr w:rsidR="005D3CBA" w:rsidRPr="001E7327" w14:paraId="0CF6FB5B"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5196458C"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4.2.2.1 Sanear las finanzas del Estado y mejorar su calificación financiera haciendo más eficiente el gasto y aumentando sensiblemente la recaudación.</w:t>
            </w:r>
          </w:p>
        </w:tc>
      </w:tr>
      <w:tr w:rsidR="005D3CBA" w:rsidRPr="001E7327" w14:paraId="284E97D2"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7A159052"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lastRenderedPageBreak/>
              <w:t>4.2.2.2 Garantizar condiciones de seguridad financiera a inversionistas a través de incentivos, financiamientos y otras facilidades.</w:t>
            </w:r>
          </w:p>
        </w:tc>
      </w:tr>
      <w:tr w:rsidR="005D3CBA" w:rsidRPr="001E7327" w14:paraId="5FC9BC37"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6A231AD8"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4.2.2.3 Mejorar sustantivamente las regulaciones y trámites gubernamentales para la apertura y operación de empresas en la Entidad.</w:t>
            </w:r>
          </w:p>
        </w:tc>
      </w:tr>
      <w:tr w:rsidR="005D3CBA" w:rsidRPr="005D3CBA" w14:paraId="7D9573C4"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59466B76"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Línea estratégica</w:t>
            </w:r>
          </w:p>
        </w:tc>
      </w:tr>
      <w:tr w:rsidR="005D3CBA" w:rsidRPr="001E7327" w14:paraId="0C4DFAA8"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6987279A"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4.2.3 Fomentar la formalidad de los empleos del Estado.</w:t>
            </w:r>
          </w:p>
          <w:p w14:paraId="01073377"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p>
        </w:tc>
      </w:tr>
      <w:tr w:rsidR="005D3CBA" w:rsidRPr="005D3CBA" w14:paraId="56785336"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2695A8C5"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Acciones</w:t>
            </w:r>
          </w:p>
        </w:tc>
      </w:tr>
      <w:tr w:rsidR="005D3CBA" w:rsidRPr="001E7327" w14:paraId="362D0C09"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611D254E"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4.2.3.1 Generar estrategias que fomenten la formalidad de las empresas en el Estado.</w:t>
            </w:r>
          </w:p>
        </w:tc>
      </w:tr>
      <w:tr w:rsidR="005D3CBA" w:rsidRPr="001E7327" w14:paraId="480C0D9B"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793381EB" w14:textId="77777777" w:rsidR="005D3CBA" w:rsidRPr="00D63823" w:rsidRDefault="005D3CBA" w:rsidP="005D3CBA">
            <w:pPr>
              <w:ind w:left="1055" w:hanging="629"/>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4.2.3.2 Impulsar mecanismos para que las empresas michoacanas cumplan con las obligaciones contractuales con los empleados.</w:t>
            </w:r>
          </w:p>
        </w:tc>
      </w:tr>
      <w:tr w:rsidR="005D3CBA" w:rsidRPr="001E7327" w14:paraId="7B9F8333"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1172C941"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4.2.3.3 Promover la capacitación y el adiestramiento de los trabajadores para propiciar la empleabilidad y la ocupación productiva.</w:t>
            </w:r>
          </w:p>
        </w:tc>
      </w:tr>
      <w:tr w:rsidR="005D3CBA" w:rsidRPr="005D3CBA" w14:paraId="1082A2E0"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31792B66"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Objetivo</w:t>
            </w:r>
          </w:p>
        </w:tc>
      </w:tr>
      <w:tr w:rsidR="005D3CBA" w:rsidRPr="001E7327" w14:paraId="22A09BF1"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7EAF3567"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4.3 Invertir en infraestructura que eleve la competitividad del Estado.</w:t>
            </w:r>
          </w:p>
        </w:tc>
      </w:tr>
      <w:tr w:rsidR="005D3CBA" w:rsidRPr="005D3CBA" w14:paraId="261E52C3"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068B3935"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Línea estratégica</w:t>
            </w:r>
          </w:p>
        </w:tc>
      </w:tr>
      <w:tr w:rsidR="005D3CBA" w:rsidRPr="001E7327" w14:paraId="35D897DE"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7459D8A1"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4.3.1 Impulsar Infraestructura y equipamiento estratégico.</w:t>
            </w:r>
          </w:p>
        </w:tc>
      </w:tr>
      <w:tr w:rsidR="005D3CBA" w:rsidRPr="005D3CBA" w14:paraId="29A7900D"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shd w:val="clear" w:color="auto" w:fill="723177"/>
          </w:tcPr>
          <w:p w14:paraId="5146F165"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Acciones</w:t>
            </w:r>
          </w:p>
        </w:tc>
      </w:tr>
      <w:tr w:rsidR="005D3CBA" w:rsidRPr="001E7327" w14:paraId="794EED24"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1C4E0CD4"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4.3.1.1 Desarrollar e incrementar la infraestructura urbana y de servicios de la zona portuaria de Lázaro Cárdenas.</w:t>
            </w:r>
          </w:p>
        </w:tc>
      </w:tr>
      <w:tr w:rsidR="005D3CBA" w:rsidRPr="001E7327" w14:paraId="001A7FE9"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63EC6CE5"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4.3.1.2  Inventariar, ampliar, mejorar y rehabilitar la infraestructura carretera estatal, caminos rurales, vecinales, saca cosechas, y puentes.</w:t>
            </w:r>
          </w:p>
        </w:tc>
      </w:tr>
      <w:tr w:rsidR="005D3CBA" w:rsidRPr="001E7327" w14:paraId="72E9ADDB"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13A9C4A5" w14:textId="77777777" w:rsidR="005D3CBA" w:rsidRPr="00D63823" w:rsidRDefault="005D3CBA" w:rsidP="005D3CBA">
            <w:pPr>
              <w:ind w:left="1055" w:hanging="629"/>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4.3.1.3 Reforzar la infraestructura aeroportuaria en zonas estratégicas.</w:t>
            </w:r>
          </w:p>
        </w:tc>
      </w:tr>
      <w:tr w:rsidR="005D3CBA" w:rsidRPr="001E7327" w14:paraId="15152209"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09BF9072" w14:textId="77777777" w:rsidR="005D3CBA" w:rsidRPr="00D63823" w:rsidRDefault="005D3CBA" w:rsidP="005D3CBA">
            <w:pPr>
              <w:ind w:left="1055" w:hanging="629"/>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4.3.1.4 Promover con la federación y el sector privado, la modernización, ampliación y construcción de autopistas que le den viabilidad y competitividad a zonas estratégicas.</w:t>
            </w:r>
          </w:p>
        </w:tc>
      </w:tr>
      <w:tr w:rsidR="005D3CBA" w:rsidRPr="001E7327" w14:paraId="0A6FE28E"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66C764B8" w14:textId="77777777" w:rsidR="005D3CBA" w:rsidRPr="00D63823" w:rsidRDefault="005D3CBA" w:rsidP="005D3CBA">
            <w:pPr>
              <w:ind w:left="1055" w:hanging="629"/>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4.3.1.5 Utilizar en forma activa el esquema de Asociación Público Privada (APP) con el fin de promover proyectos que privilegien el desarrollo económico del estado y hagan más eficiente el gasto público.</w:t>
            </w:r>
          </w:p>
        </w:tc>
      </w:tr>
      <w:tr w:rsidR="005D3CBA" w:rsidRPr="001E7327" w14:paraId="6AB7FFDB" w14:textId="77777777" w:rsidTr="005D3CBA">
        <w:trPr>
          <w:jc w:val="center"/>
        </w:trPr>
        <w:tc>
          <w:tcPr>
            <w:tcW w:w="9157" w:type="dxa"/>
            <w:tcBorders>
              <w:top w:val="single" w:sz="4" w:space="0" w:color="auto"/>
              <w:left w:val="single" w:sz="4" w:space="0" w:color="auto"/>
              <w:bottom w:val="single" w:sz="4" w:space="0" w:color="auto"/>
              <w:right w:val="single" w:sz="4" w:space="0" w:color="auto"/>
            </w:tcBorders>
          </w:tcPr>
          <w:p w14:paraId="015310CB" w14:textId="77777777" w:rsidR="005D3CBA" w:rsidRPr="00D63823" w:rsidRDefault="005D3CBA" w:rsidP="005D3CBA">
            <w:pPr>
              <w:spacing w:after="0" w:line="240" w:lineRule="auto"/>
              <w:ind w:left="1055" w:hanging="629"/>
              <w:jc w:val="both"/>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4.3.1.6 Promover la modernización de nuestros parques industriales, vinculando al sector privado para su mejoramiento, ampliación, promoción y operación.</w:t>
            </w:r>
          </w:p>
        </w:tc>
      </w:tr>
    </w:tbl>
    <w:p w14:paraId="257354D2" w14:textId="2D55EC31" w:rsidR="00E96714" w:rsidRPr="00E96714" w:rsidRDefault="00E96714" w:rsidP="00E96714">
      <w:pPr>
        <w:rPr>
          <w:rFonts w:ascii="GalanoGrotesque-Medium" w:eastAsia="Times New Roman" w:hAnsi="GalanoGrotesque-Medium" w:cs="Arial"/>
          <w:sz w:val="24"/>
          <w:szCs w:val="24"/>
          <w:lang w:val="es-ES" w:eastAsia="es-ES"/>
        </w:rPr>
      </w:pPr>
    </w:p>
    <w:p w14:paraId="5489C8F1" w14:textId="77777777" w:rsidR="002C72FB" w:rsidRDefault="002C72FB" w:rsidP="00E96714">
      <w:pPr>
        <w:rPr>
          <w:rFonts w:ascii="GalanoGrotesque-Medium" w:eastAsia="Times New Roman" w:hAnsi="GalanoGrotesque-Medium" w:cs="Arial"/>
          <w:sz w:val="24"/>
          <w:szCs w:val="24"/>
          <w:lang w:val="es-ES" w:eastAsia="es-ES"/>
        </w:rPr>
        <w:sectPr w:rsidR="002C72FB" w:rsidSect="00393342">
          <w:footnotePr>
            <w:numStart w:val="4"/>
          </w:footnotePr>
          <w:type w:val="continuous"/>
          <w:pgSz w:w="12240" w:h="15840"/>
          <w:pgMar w:top="1418" w:right="1134" w:bottom="1418" w:left="1134" w:header="709" w:footer="709" w:gutter="0"/>
          <w:cols w:space="567"/>
          <w:docGrid w:linePitch="360"/>
        </w:sectPr>
      </w:pPr>
    </w:p>
    <w:p w14:paraId="1188AE74" w14:textId="2B0CA3E5" w:rsidR="00BF1715" w:rsidRDefault="00BF1715" w:rsidP="00BF1715">
      <w:pPr>
        <w:tabs>
          <w:tab w:val="num" w:pos="720"/>
        </w:tabs>
        <w:spacing w:after="0"/>
        <w:jc w:val="both"/>
        <w:rPr>
          <w:rFonts w:ascii="GalanoGrotesque-Medium" w:eastAsia="Times New Roman" w:hAnsi="GalanoGrotesque-Medium" w:cs="Times New Roman"/>
          <w:sz w:val="24"/>
          <w:szCs w:val="24"/>
          <w:lang w:val="es-ES" w:eastAsia="es-ES"/>
        </w:rPr>
      </w:pPr>
      <w:r>
        <w:rPr>
          <w:rFonts w:ascii="GalanoGrotesque-Medium" w:eastAsia="Times New Roman" w:hAnsi="GalanoGrotesque-Medium" w:cs="Times New Roman"/>
          <w:sz w:val="24"/>
          <w:szCs w:val="24"/>
          <w:lang w:val="es-ES" w:eastAsia="es-ES"/>
        </w:rPr>
        <w:lastRenderedPageBreak/>
        <w:br w:type="page"/>
      </w:r>
    </w:p>
    <w:p w14:paraId="131088D2" w14:textId="5452D8E2" w:rsidR="00393342" w:rsidRPr="00393342" w:rsidRDefault="00BF1715" w:rsidP="00BF1715">
      <w:pPr>
        <w:tabs>
          <w:tab w:val="num" w:pos="720"/>
        </w:tabs>
        <w:spacing w:after="0"/>
        <w:jc w:val="both"/>
        <w:rPr>
          <w:rFonts w:ascii="GalanoGrotesque-Medium" w:eastAsia="Times New Roman" w:hAnsi="GalanoGrotesque-Medium" w:cs="Times New Roman"/>
          <w:sz w:val="24"/>
          <w:szCs w:val="24"/>
          <w:lang w:val="es-ES" w:eastAsia="es-ES"/>
        </w:rPr>
      </w:pPr>
      <w:r>
        <w:rPr>
          <w:rFonts w:ascii="GalanoGrotesque-Medium" w:hAnsi="GalanoGrotesque-Medium"/>
          <w:noProof/>
          <w:lang w:val="es-ES" w:eastAsia="es-ES"/>
        </w:rPr>
        <w:lastRenderedPageBreak/>
        <w:drawing>
          <wp:anchor distT="0" distB="0" distL="114300" distR="114300" simplePos="0" relativeHeight="251774464" behindDoc="0" locked="0" layoutInCell="1" allowOverlap="1" wp14:anchorId="46CF7187" wp14:editId="794468AC">
            <wp:simplePos x="0" y="0"/>
            <wp:positionH relativeFrom="page">
              <wp:align>left</wp:align>
            </wp:positionH>
            <wp:positionV relativeFrom="paragraph">
              <wp:posOffset>-1634490</wp:posOffset>
            </wp:positionV>
            <wp:extent cx="7764780" cy="11108004"/>
            <wp:effectExtent l="0" t="0" r="762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ma-5.jpg"/>
                    <pic:cNvPicPr/>
                  </pic:nvPicPr>
                  <pic:blipFill>
                    <a:blip r:embed="rId51"/>
                    <a:stretch>
                      <a:fillRect/>
                    </a:stretch>
                  </pic:blipFill>
                  <pic:spPr>
                    <a:xfrm>
                      <a:off x="0" y="0"/>
                      <a:ext cx="7764780" cy="11108004"/>
                    </a:xfrm>
                    <a:prstGeom prst="rect">
                      <a:avLst/>
                    </a:prstGeom>
                  </pic:spPr>
                </pic:pic>
              </a:graphicData>
            </a:graphic>
            <wp14:sizeRelH relativeFrom="margin">
              <wp14:pctWidth>0</wp14:pctWidth>
            </wp14:sizeRelH>
            <wp14:sizeRelV relativeFrom="margin">
              <wp14:pctHeight>0</wp14:pctHeight>
            </wp14:sizeRelV>
          </wp:anchor>
        </w:drawing>
      </w:r>
    </w:p>
    <w:p w14:paraId="439942ED" w14:textId="77777777" w:rsidR="00393342" w:rsidRDefault="00393342" w:rsidP="00393342">
      <w:pPr>
        <w:tabs>
          <w:tab w:val="left" w:pos="4408"/>
        </w:tabs>
        <w:rPr>
          <w:rFonts w:ascii="GalanoGrotesque-Black" w:hAnsi="GalanoGrotesque-Black"/>
        </w:rPr>
        <w:sectPr w:rsidR="00393342" w:rsidSect="009B176F">
          <w:footnotePr>
            <w:numStart w:val="4"/>
          </w:footnotePr>
          <w:type w:val="continuous"/>
          <w:pgSz w:w="12240" w:h="15840"/>
          <w:pgMar w:top="1418" w:right="1134" w:bottom="1418" w:left="1134" w:header="709" w:footer="709" w:gutter="0"/>
          <w:cols w:space="567"/>
          <w:docGrid w:linePitch="360"/>
        </w:sectPr>
      </w:pPr>
    </w:p>
    <w:p w14:paraId="0FC605E4" w14:textId="33ED84FE" w:rsidR="00D61588" w:rsidRDefault="000E6CE1" w:rsidP="00A25C9A">
      <w:pPr>
        <w:pStyle w:val="Ttulo1"/>
        <w:spacing w:before="0" w:after="200" w:line="280" w:lineRule="exact"/>
        <w:ind w:left="709"/>
        <w:rPr>
          <w:rFonts w:ascii="GalanoGrotesque-Bold" w:hAnsi="GalanoGrotesque-Bold" w:cs="GalanoGrotesque-Bold"/>
          <w:b w:val="0"/>
          <w:bCs w:val="0"/>
          <w:color w:val="414142"/>
          <w:sz w:val="28"/>
          <w:szCs w:val="28"/>
        </w:rPr>
      </w:pPr>
      <w:bookmarkStart w:id="18" w:name="_Toc458015641"/>
      <w:r>
        <w:rPr>
          <w:noProof/>
        </w:rPr>
        <w:lastRenderedPageBreak/>
        <w:drawing>
          <wp:anchor distT="0" distB="0" distL="114300" distR="114300" simplePos="0" relativeHeight="251799040" behindDoc="0" locked="0" layoutInCell="1" allowOverlap="1" wp14:anchorId="7026ADDD" wp14:editId="16E8DD31">
            <wp:simplePos x="0" y="0"/>
            <wp:positionH relativeFrom="page">
              <wp:posOffset>233917</wp:posOffset>
            </wp:positionH>
            <wp:positionV relativeFrom="page">
              <wp:posOffset>1116419</wp:posOffset>
            </wp:positionV>
            <wp:extent cx="948434" cy="636905"/>
            <wp:effectExtent l="0" t="0" r="4445" b="0"/>
            <wp:wrapNone/>
            <wp:docPr id="37" name="Imagen 37"/>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4199" cy="6474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lanoGrotesque-Bold" w:hAnsi="GalanoGrotesque-Bold" w:cs="GalanoGrotesque-Bold"/>
          <w:b w:val="0"/>
          <w:bCs w:val="0"/>
          <w:color w:val="414142"/>
          <w:sz w:val="28"/>
          <w:szCs w:val="28"/>
        </w:rPr>
        <w:t>Cubrir las necesidades</w:t>
      </w:r>
      <w:r w:rsidR="00A25C9A">
        <w:rPr>
          <w:rFonts w:ascii="GalanoGrotesque-Bold" w:hAnsi="GalanoGrotesque-Bold" w:cs="GalanoGrotesque-Bold"/>
          <w:b w:val="0"/>
          <w:bCs w:val="0"/>
          <w:color w:val="414142"/>
          <w:sz w:val="28"/>
          <w:szCs w:val="28"/>
        </w:rPr>
        <w:t xml:space="preserve"> </w:t>
      </w:r>
      <w:r>
        <w:rPr>
          <w:rFonts w:ascii="GalanoGrotesque-Bold" w:hAnsi="GalanoGrotesque-Bold" w:cs="GalanoGrotesque-Bold"/>
          <w:b w:val="0"/>
          <w:bCs w:val="0"/>
          <w:color w:val="414142"/>
          <w:sz w:val="28"/>
          <w:szCs w:val="28"/>
        </w:rPr>
        <w:t>básicas y promover la</w:t>
      </w:r>
      <w:r w:rsidR="00A25C9A">
        <w:rPr>
          <w:rFonts w:ascii="GalanoGrotesque-Bold" w:hAnsi="GalanoGrotesque-Bold" w:cs="GalanoGrotesque-Bold"/>
          <w:b w:val="0"/>
          <w:bCs w:val="0"/>
          <w:color w:val="414142"/>
          <w:sz w:val="28"/>
          <w:szCs w:val="28"/>
        </w:rPr>
        <w:t xml:space="preserve"> </w:t>
      </w:r>
      <w:r>
        <w:rPr>
          <w:rFonts w:ascii="GalanoGrotesque-Bold" w:hAnsi="GalanoGrotesque-Bold" w:cs="GalanoGrotesque-Bold"/>
          <w:b w:val="0"/>
          <w:bCs w:val="0"/>
          <w:color w:val="414142"/>
          <w:sz w:val="28"/>
          <w:szCs w:val="28"/>
        </w:rPr>
        <w:t>inclusión y acceso de los</w:t>
      </w:r>
      <w:r w:rsidR="00A25C9A">
        <w:rPr>
          <w:rFonts w:ascii="GalanoGrotesque-Bold" w:hAnsi="GalanoGrotesque-Bold" w:cs="GalanoGrotesque-Bold"/>
          <w:b w:val="0"/>
          <w:bCs w:val="0"/>
          <w:color w:val="414142"/>
          <w:sz w:val="28"/>
          <w:szCs w:val="28"/>
        </w:rPr>
        <w:t xml:space="preserve"> </w:t>
      </w:r>
      <w:r>
        <w:rPr>
          <w:rFonts w:ascii="GalanoGrotesque-Bold" w:hAnsi="GalanoGrotesque-Bold" w:cs="GalanoGrotesque-Bold"/>
          <w:b w:val="0"/>
          <w:bCs w:val="0"/>
          <w:color w:val="414142"/>
          <w:sz w:val="28"/>
          <w:szCs w:val="28"/>
        </w:rPr>
        <w:t>más necesitados</w:t>
      </w:r>
      <w:bookmarkEnd w:id="18"/>
    </w:p>
    <w:p w14:paraId="3EEAB8C2" w14:textId="77777777" w:rsidR="00393342" w:rsidRDefault="00393342" w:rsidP="005D3CBA">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La inclusión social es un aspecto crucial del desarrollo y la prevención de la pobreza. Ambos aspectos tienen un carácter multidimensional, por lo que esta prioridad será abordada con un enfoque amplio e integrado, el de Inclusión Activa. Este enfoque se centra en satisfacer las necesidades básicas de las familias en la cobertura de los principales componentes de la política familiar: acceso al empleo, garantía de ingresos mínimos y servicios asequibles y de calidad.</w:t>
      </w:r>
    </w:p>
    <w:p w14:paraId="4DBEC849" w14:textId="77777777" w:rsidR="00393342" w:rsidRDefault="00393342" w:rsidP="005D3CBA">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Para las familias, contar con un ingreso mínimo es esencial para luchar contra la pobreza y su transmisión a las siguientes generaciones. También resulta indispensable que las personas se integren de manera efectiva al mercado laboral, sin dejar de cumplir con sus responsabilidades familiares. Por último, los servicios sociales de calidad, como son el cuidado de los niños, la asistencia social o los servicios de salud, son absolutamente esenciales para lograr una efectiva inclusión social, principalmente de la población más vulnerable.</w:t>
      </w:r>
    </w:p>
    <w:p w14:paraId="2B16823F" w14:textId="5C3CE44F" w:rsidR="00393342" w:rsidRDefault="00393342" w:rsidP="005D3CBA">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La promoción de la inclusión social es una premisa en la que se trabajará de manera decidida, partiendo de nuevos enfoques de política pública, como el de la innovación </w:t>
      </w:r>
      <w:r w:rsidRPr="005258BB">
        <w:rPr>
          <w:rFonts w:ascii="MyriadPro-Regular" w:hAnsi="MyriadPro-Regular" w:cs="MyriadPro-Regular"/>
          <w:color w:val="414142"/>
          <w:sz w:val="20"/>
          <w:szCs w:val="20"/>
        </w:rPr>
        <w:t>social</w:t>
      </w:r>
      <w:r w:rsidR="005258BB" w:rsidRPr="005258BB">
        <w:rPr>
          <w:rStyle w:val="Refdenotaalpie"/>
          <w:rFonts w:ascii="MyriadPro-Regular" w:hAnsi="MyriadPro-Regular" w:cs="MyriadPro-Regular"/>
          <w:color w:val="414142"/>
          <w:sz w:val="20"/>
          <w:szCs w:val="20"/>
        </w:rPr>
        <w:footnoteReference w:customMarkFollows="1" w:id="5"/>
        <w:t>4</w:t>
      </w:r>
      <w:r w:rsidRPr="005258BB">
        <w:rPr>
          <w:rFonts w:ascii="MyriadPro-Regular" w:hAnsi="MyriadPro-Regular" w:cs="MyriadPro-Regular"/>
          <w:color w:val="414142"/>
          <w:sz w:val="20"/>
          <w:szCs w:val="20"/>
        </w:rPr>
        <w:t>,</w:t>
      </w:r>
      <w:r w:rsidRPr="00C00F95">
        <w:rPr>
          <w:rFonts w:ascii="MyriadPro-Regular" w:hAnsi="MyriadPro-Regular" w:cs="MyriadPro-Regular"/>
          <w:color w:val="414142"/>
          <w:sz w:val="20"/>
          <w:szCs w:val="20"/>
        </w:rPr>
        <w:t xml:space="preserve"> a través del cual se promueve la participación activa y coordinada de los agentes públicos y privados en la toma de decisiones. Con base en este enfoque se habrán de enfrentar los grandes retos de Michoacán, como el f</w:t>
      </w:r>
      <w:r w:rsidR="0027563C">
        <w:rPr>
          <w:rFonts w:ascii="MyriadPro-Regular" w:hAnsi="MyriadPro-Regular" w:cs="MyriadPro-Regular"/>
          <w:color w:val="414142"/>
          <w:sz w:val="20"/>
          <w:szCs w:val="20"/>
        </w:rPr>
        <w:t xml:space="preserve">omento de las tecnologías de la </w:t>
      </w:r>
      <w:r w:rsidRPr="00C00F95">
        <w:rPr>
          <w:rFonts w:ascii="MyriadPro-Regular" w:hAnsi="MyriadPro-Regular" w:cs="MyriadPro-Regular"/>
          <w:color w:val="414142"/>
          <w:sz w:val="20"/>
          <w:szCs w:val="20"/>
        </w:rPr>
        <w:t xml:space="preserve">información y comunicaciones para eliminar la brecha digital, el impulso de la economía social, la promoción del cuidado del medio ambiente y la gestión de riesgos asociados a la pobreza medioambiental y a la mejora de la capacidad de las instituciones para dar respuesta a las nuevas necesidades sociales; bajo el enfoque multidimensional que se adopta en el PLADIEM, </w:t>
      </w:r>
      <w:r w:rsidRPr="00C00F95">
        <w:rPr>
          <w:rFonts w:ascii="MyriadPro-Regular" w:hAnsi="MyriadPro-Regular" w:cs="MyriadPro-Regular"/>
          <w:color w:val="414142"/>
          <w:sz w:val="20"/>
          <w:szCs w:val="20"/>
        </w:rPr>
        <w:lastRenderedPageBreak/>
        <w:t>todos estos elementos estarán implícitos en el combate a la pobreza y la exclusión social.</w:t>
      </w:r>
    </w:p>
    <w:p w14:paraId="198F69AE" w14:textId="77777777" w:rsidR="00393342" w:rsidRPr="005D3CBA" w:rsidRDefault="00D61588" w:rsidP="005D3CBA">
      <w:pPr>
        <w:pStyle w:val="Prrafodelista"/>
        <w:numPr>
          <w:ilvl w:val="0"/>
          <w:numId w:val="22"/>
        </w:numPr>
        <w:spacing w:before="120" w:after="120"/>
        <w:ind w:left="426" w:hanging="426"/>
        <w:rPr>
          <w:rFonts w:ascii="MyriadPro-Bold" w:hAnsi="MyriadPro-Bold" w:cs="MyriadPro-Bold"/>
          <w:b/>
          <w:bCs/>
          <w:color w:val="414142"/>
        </w:rPr>
      </w:pPr>
      <w:r w:rsidRPr="005D3CBA">
        <w:rPr>
          <w:rFonts w:ascii="MyriadPro-Bold" w:hAnsi="MyriadPro-Bold" w:cs="MyriadPro-Bold"/>
          <w:b/>
          <w:bCs/>
          <w:color w:val="414142"/>
        </w:rPr>
        <w:t>Como nos encontramos</w:t>
      </w:r>
    </w:p>
    <w:p w14:paraId="2DD5F3EE" w14:textId="6C9A3AF4" w:rsidR="00393342" w:rsidRPr="00C00F95" w:rsidRDefault="00393342" w:rsidP="00C00CBE">
      <w:pPr>
        <w:spacing w:afterLines="100"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Según las estadísticas de pobreza del Consejo Nacional de Evaluación de la Política de Desarrollo Social (CONEVAL), en 2014 el 59.25% de la población michoacana se encont</w:t>
      </w:r>
      <w:r w:rsidR="00DE0C10">
        <w:rPr>
          <w:rFonts w:ascii="MyriadPro-Regular" w:hAnsi="MyriadPro-Regular" w:cs="MyriadPro-Regular"/>
          <w:color w:val="414142"/>
          <w:sz w:val="20"/>
          <w:szCs w:val="20"/>
        </w:rPr>
        <w:t>r</w:t>
      </w:r>
      <w:r w:rsidRPr="00C00F95">
        <w:rPr>
          <w:rFonts w:ascii="MyriadPro-Regular" w:hAnsi="MyriadPro-Regular" w:cs="MyriadPro-Regular"/>
          <w:color w:val="414142"/>
          <w:sz w:val="20"/>
          <w:szCs w:val="20"/>
        </w:rPr>
        <w:t xml:space="preserve">aba en situación de </w:t>
      </w:r>
      <w:r w:rsidRPr="009300C8">
        <w:rPr>
          <w:rFonts w:ascii="MyriadPro-Regular" w:hAnsi="MyriadPro-Regular" w:cs="MyriadPro-Regular"/>
          <w:color w:val="414142"/>
          <w:sz w:val="20"/>
          <w:szCs w:val="20"/>
        </w:rPr>
        <w:t>pobreza</w:t>
      </w:r>
      <w:r w:rsidR="005258BB" w:rsidRPr="009300C8">
        <w:rPr>
          <w:rStyle w:val="Refdenotaalpie"/>
          <w:rFonts w:ascii="MyriadPro-Regular" w:hAnsi="MyriadPro-Regular" w:cs="MyriadPro-Regular"/>
          <w:color w:val="414142"/>
          <w:sz w:val="20"/>
          <w:szCs w:val="20"/>
        </w:rPr>
        <w:footnoteReference w:customMarkFollows="1" w:id="6"/>
        <w:t>5</w:t>
      </w:r>
      <w:r w:rsidR="0027563C" w:rsidRPr="009300C8">
        <w:rPr>
          <w:rFonts w:ascii="MyriadPro-Regular" w:hAnsi="MyriadPro-Regular" w:cs="MyriadPro-Regular"/>
          <w:color w:val="414142"/>
          <w:sz w:val="20"/>
          <w:szCs w:val="20"/>
        </w:rPr>
        <w:t>.</w:t>
      </w:r>
      <w:r w:rsidRPr="00C00F95">
        <w:rPr>
          <w:rFonts w:ascii="MyriadPro-Regular" w:hAnsi="MyriadPro-Regular" w:cs="MyriadPro-Regular"/>
          <w:color w:val="414142"/>
          <w:sz w:val="20"/>
          <w:szCs w:val="20"/>
        </w:rPr>
        <w:t xml:space="preserve"> Esta cifra rebasa por mucho la media nacional de 44.7%. Aun peor, entre 2010 y 2014, la población michoacana en pobreza extrema aumentó en casi 44 mil personas.</w:t>
      </w:r>
    </w:p>
    <w:p w14:paraId="03FBC263" w14:textId="46F12A7C" w:rsidR="00393342" w:rsidRDefault="00393342" w:rsidP="00C00CBE">
      <w:pPr>
        <w:spacing w:afterLines="100"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En 2014, el 27.6% de la población michoacana tenía rezago </w:t>
      </w:r>
      <w:r w:rsidRPr="009300C8">
        <w:rPr>
          <w:rFonts w:ascii="MyriadPro-Regular" w:hAnsi="MyriadPro-Regular" w:cs="MyriadPro-Regular"/>
          <w:color w:val="414142"/>
          <w:sz w:val="20"/>
          <w:szCs w:val="20"/>
        </w:rPr>
        <w:t>educativo</w:t>
      </w:r>
      <w:r w:rsidR="00E746F4" w:rsidRPr="009300C8">
        <w:rPr>
          <w:rStyle w:val="Refdenotaalpie"/>
          <w:rFonts w:ascii="MyriadPro-Regular" w:hAnsi="MyriadPro-Regular" w:cs="MyriadPro-Regular"/>
          <w:color w:val="414142"/>
          <w:sz w:val="20"/>
          <w:szCs w:val="20"/>
        </w:rPr>
        <w:footnoteReference w:customMarkFollows="1" w:id="7"/>
        <w:t>6</w:t>
      </w:r>
      <w:r w:rsidRPr="009300C8">
        <w:rPr>
          <w:rFonts w:ascii="MyriadPro-Regular" w:hAnsi="MyriadPro-Regular" w:cs="MyriadPro-Regular"/>
          <w:color w:val="414142"/>
          <w:sz w:val="20"/>
          <w:szCs w:val="20"/>
        </w:rPr>
        <w:t>,</w:t>
      </w:r>
      <w:r w:rsidRPr="00C00F95">
        <w:rPr>
          <w:rFonts w:ascii="MyriadPro-Regular" w:hAnsi="MyriadPro-Regular" w:cs="MyriadPro-Regular"/>
          <w:color w:val="414142"/>
          <w:sz w:val="20"/>
          <w:szCs w:val="20"/>
        </w:rPr>
        <w:t xml:space="preserve"> lo que nos ubicó como el tercer estado a nivel nacional con el mayor nivel de rezago en este tema.</w:t>
      </w:r>
    </w:p>
    <w:p w14:paraId="6C5D0A08" w14:textId="77777777" w:rsidR="00393342" w:rsidRDefault="00393342" w:rsidP="00C00CBE">
      <w:pPr>
        <w:spacing w:afterLines="100"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El acceso a la alimentación para llevar una vida activa y sana es otro aspecto prioritario en el combate a la pobreza. En este tema se reconocen tres niveles de inseguridad alimentaria: severa, moderada y leve. En los tres niveles Michoacán registra una tendencia al alza en los últimos años que resulta difícil revertir; tan sólo entre 2010 y 2014 se incrementó en 15% el número de personas que presentaba alguna de las tres carencias, lo que significó que la población del estado con inseguridad alimentaria pasara de 2.2 millones en 2010 a casi 2.6 millones en 2014.</w:t>
      </w:r>
    </w:p>
    <w:p w14:paraId="4856CC57" w14:textId="77777777" w:rsidR="00393342" w:rsidRDefault="00393342" w:rsidP="00C00CBE">
      <w:pPr>
        <w:spacing w:afterLines="100"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Michoacán también registra una situación deficitaria en la cobertura de servicios básicos, como son el acceso a servicios de salud y de seguridad social, y la posibilidad de contar con viviendas en condiciones de calidad y espacio, y con una adecuada provisión de servicios básicos, como agua, drenaje y electricidad. </w:t>
      </w:r>
    </w:p>
    <w:p w14:paraId="44EA1420" w14:textId="77777777" w:rsidR="00393342" w:rsidRPr="00C00F95" w:rsidRDefault="00393342" w:rsidP="00C00CBE">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Como se puede observar en la tabla, si bien ha disminuido la carencia por acceso a los servicios de salud, por el incremento observado en la población afiliada al Seguro Popular, casi 1.2 millones de personas aún registran este tipo de carencia y alrededor de 3.3 millones de personas enfrentan </w:t>
      </w:r>
      <w:r w:rsidRPr="00C00F95">
        <w:rPr>
          <w:rFonts w:ascii="MyriadPro-Regular" w:hAnsi="MyriadPro-Regular" w:cs="MyriadPro-Regular"/>
          <w:color w:val="414142"/>
          <w:sz w:val="20"/>
          <w:szCs w:val="20"/>
        </w:rPr>
        <w:lastRenderedPageBreak/>
        <w:t>problemas para acceder a la cobertura de la seguridad social.</w:t>
      </w:r>
    </w:p>
    <w:p w14:paraId="6312E664" w14:textId="60FF99BD" w:rsidR="00824AB5" w:rsidRDefault="00393342" w:rsidP="00C00CBE">
      <w:pPr>
        <w:autoSpaceDE w:val="0"/>
        <w:autoSpaceDN w:val="0"/>
        <w:adjustRightInd w:val="0"/>
        <w:spacing w:after="160" w:line="240" w:lineRule="auto"/>
        <w:jc w:val="both"/>
        <w:rPr>
          <w:rFonts w:ascii="MyriadPro-Regular" w:hAnsi="MyriadPro-Regular" w:cs="MyriadPro-Regular"/>
          <w:color w:val="414142"/>
          <w:sz w:val="20"/>
          <w:szCs w:val="20"/>
        </w:rPr>
        <w:sectPr w:rsidR="00824AB5" w:rsidSect="00393342">
          <w:footnotePr>
            <w:numStart w:val="4"/>
          </w:footnotePr>
          <w:pgSz w:w="12240" w:h="15840"/>
          <w:pgMar w:top="1418" w:right="1134" w:bottom="1418" w:left="1134" w:header="709" w:footer="709" w:gutter="0"/>
          <w:cols w:num="2" w:space="567"/>
          <w:docGrid w:linePitch="360"/>
        </w:sectPr>
      </w:pPr>
      <w:r w:rsidRPr="00C00F95">
        <w:rPr>
          <w:rFonts w:ascii="MyriadPro-Regular" w:hAnsi="MyriadPro-Regular" w:cs="MyriadPro-Regular"/>
          <w:color w:val="414142"/>
          <w:sz w:val="20"/>
          <w:szCs w:val="20"/>
        </w:rPr>
        <w:t xml:space="preserve">Asimismo, poco más de 700 mil personas no cuentan con una vivienda digna, con los espacios y la calidad requeridas (en esta categoría se ubican, por ejemplo, las casas con pisos de tierra, techo de lámina o desechos, muros de barro, carrizo, palma o bambú, lámina, cartón, metálica o asbesto o material de </w:t>
      </w:r>
      <w:r w:rsidRPr="00C00F95">
        <w:rPr>
          <w:rFonts w:ascii="MyriadPro-Regular" w:hAnsi="MyriadPro-Regular" w:cs="MyriadPro-Regular"/>
          <w:color w:val="414142"/>
          <w:sz w:val="20"/>
          <w:szCs w:val="20"/>
        </w:rPr>
        <w:lastRenderedPageBreak/>
        <w:t>desecho), por lo que a nivel nacional Michoacán de Ocampo se encuentra ubicado dentro de las cinco entidades federativas con mayor carencia social. También es de destacar que 1.2 millones de personas no tienen acceso a servicios básicos de acceso a agua potable, drenaje y electricidad, condiciones básicas requeridas para lograr un mayor niv</w:t>
      </w:r>
      <w:r w:rsidR="0064210D">
        <w:rPr>
          <w:rFonts w:ascii="MyriadPro-Regular" w:hAnsi="MyriadPro-Regular" w:cs="MyriadPro-Regular"/>
          <w:color w:val="414142"/>
          <w:sz w:val="20"/>
          <w:szCs w:val="20"/>
        </w:rPr>
        <w:t>el de inclusión de la població</w:t>
      </w:r>
      <w:r w:rsidR="00C00CBE">
        <w:rPr>
          <w:rFonts w:ascii="MyriadPro-Regular" w:hAnsi="MyriadPro-Regular" w:cs="MyriadPro-Regular"/>
          <w:color w:val="414142"/>
          <w:sz w:val="20"/>
          <w:szCs w:val="20"/>
        </w:rPr>
        <w:t>n</w:t>
      </w:r>
      <w:r w:rsidR="00F11D02">
        <w:rPr>
          <w:rFonts w:ascii="MyriadPro-Regular" w:hAnsi="MyriadPro-Regular" w:cs="MyriadPro-Regular"/>
          <w:color w:val="414142"/>
          <w:sz w:val="20"/>
          <w:szCs w:val="20"/>
        </w:rPr>
        <w:t>.</w:t>
      </w:r>
    </w:p>
    <w:p w14:paraId="671D7134" w14:textId="77777777" w:rsidR="002F3D70" w:rsidRPr="009300C8" w:rsidRDefault="002F3D70" w:rsidP="0064210D">
      <w:pPr>
        <w:spacing w:after="0" w:line="240" w:lineRule="exact"/>
        <w:jc w:val="center"/>
        <w:rPr>
          <w:rFonts w:ascii="GalanoGrotesque-Medium" w:hAnsi="GalanoGrotesque-Medium" w:cs="Arial"/>
          <w:b/>
          <w:sz w:val="16"/>
        </w:rPr>
      </w:pPr>
      <w:r w:rsidRPr="009300C8">
        <w:rPr>
          <w:rFonts w:ascii="GalanoGrotesque-Medium" w:hAnsi="GalanoGrotesque-Medium" w:cs="Arial"/>
          <w:b/>
          <w:sz w:val="16"/>
        </w:rPr>
        <w:lastRenderedPageBreak/>
        <w:t>Tabla 5.1</w:t>
      </w:r>
    </w:p>
    <w:p w14:paraId="6F8CC0CA" w14:textId="77777777" w:rsidR="002F3D70" w:rsidRPr="009300C8" w:rsidRDefault="002F3D70" w:rsidP="002F3D70">
      <w:pPr>
        <w:spacing w:after="0" w:line="240" w:lineRule="exact"/>
        <w:jc w:val="center"/>
        <w:rPr>
          <w:rFonts w:ascii="GalanoGrotesque-Medium" w:hAnsi="GalanoGrotesque-Medium" w:cs="Arial"/>
          <w:b/>
          <w:sz w:val="16"/>
        </w:rPr>
      </w:pPr>
      <w:r w:rsidRPr="009300C8">
        <w:rPr>
          <w:rFonts w:ascii="GalanoGrotesque-Medium" w:hAnsi="GalanoGrotesque-Medium" w:cs="Arial"/>
          <w:b/>
          <w:sz w:val="16"/>
        </w:rPr>
        <w:t>Indicadores de pobreza e inclusión social</w:t>
      </w:r>
    </w:p>
    <w:p w14:paraId="05CCEA9D" w14:textId="77777777" w:rsidR="002F3D70" w:rsidRDefault="002F3D70" w:rsidP="002F3D70">
      <w:pPr>
        <w:spacing w:after="0" w:line="240" w:lineRule="exact"/>
        <w:jc w:val="center"/>
        <w:rPr>
          <w:rFonts w:ascii="GalanoGrotesque-Medium" w:hAnsi="GalanoGrotesque-Medium" w:cs="Arial"/>
          <w:b/>
        </w:rPr>
      </w:pPr>
    </w:p>
    <w:tbl>
      <w:tblPr>
        <w:tblW w:w="5670" w:type="dxa"/>
        <w:jc w:val="center"/>
        <w:tblCellMar>
          <w:left w:w="0" w:type="dxa"/>
          <w:right w:w="0" w:type="dxa"/>
        </w:tblCellMar>
        <w:tblLook w:val="04A0" w:firstRow="1" w:lastRow="0" w:firstColumn="1" w:lastColumn="0" w:noHBand="0" w:noVBand="1"/>
      </w:tblPr>
      <w:tblGrid>
        <w:gridCol w:w="2420"/>
        <w:gridCol w:w="992"/>
        <w:gridCol w:w="426"/>
        <w:gridCol w:w="708"/>
        <w:gridCol w:w="977"/>
        <w:gridCol w:w="709"/>
        <w:gridCol w:w="567"/>
        <w:gridCol w:w="709"/>
        <w:gridCol w:w="567"/>
        <w:gridCol w:w="850"/>
      </w:tblGrid>
      <w:tr w:rsidR="002F3D70" w:rsidRPr="002F3D70" w14:paraId="7664B305" w14:textId="77777777" w:rsidTr="00326604">
        <w:trPr>
          <w:trHeight w:val="20"/>
          <w:jc w:val="center"/>
        </w:trPr>
        <w:tc>
          <w:tcPr>
            <w:tcW w:w="2420" w:type="dxa"/>
            <w:tcBorders>
              <w:top w:val="single" w:sz="8" w:space="0" w:color="auto"/>
              <w:left w:val="single" w:sz="8" w:space="0" w:color="auto"/>
              <w:bottom w:val="nil"/>
              <w:right w:val="single" w:sz="8" w:space="0" w:color="auto"/>
            </w:tcBorders>
            <w:shd w:val="clear" w:color="000000" w:fill="808080"/>
            <w:noWrap/>
            <w:vAlign w:val="center"/>
            <w:hideMark/>
          </w:tcPr>
          <w:p w14:paraId="21514BCC" w14:textId="77777777" w:rsidR="002F3D70" w:rsidRPr="002F3D70" w:rsidRDefault="002F3D70" w:rsidP="00326604">
            <w:pPr>
              <w:jc w:val="center"/>
              <w:rPr>
                <w:rFonts w:ascii="MyriadPro-Regular" w:hAnsi="MyriadPro-Regular"/>
                <w:b/>
                <w:bCs/>
                <w:color w:val="FFFFFF"/>
                <w:sz w:val="20"/>
                <w:szCs w:val="20"/>
              </w:rPr>
            </w:pPr>
            <w:r w:rsidRPr="002F3D70">
              <w:rPr>
                <w:rFonts w:ascii="MyriadPro-Regular" w:hAnsi="MyriadPro-Regular"/>
                <w:b/>
                <w:bCs/>
                <w:color w:val="FFFFFF"/>
                <w:sz w:val="20"/>
                <w:szCs w:val="20"/>
              </w:rPr>
              <w:t>Indicador</w:t>
            </w:r>
          </w:p>
        </w:tc>
        <w:tc>
          <w:tcPr>
            <w:tcW w:w="992" w:type="dxa"/>
            <w:tcBorders>
              <w:top w:val="single" w:sz="8" w:space="0" w:color="auto"/>
              <w:left w:val="nil"/>
              <w:bottom w:val="nil"/>
              <w:right w:val="single" w:sz="8" w:space="0" w:color="auto"/>
            </w:tcBorders>
            <w:shd w:val="clear" w:color="000000" w:fill="808080"/>
            <w:noWrap/>
            <w:vAlign w:val="center"/>
            <w:hideMark/>
          </w:tcPr>
          <w:p w14:paraId="46D5A4E1" w14:textId="77777777" w:rsidR="002F3D70" w:rsidRPr="002F3D70" w:rsidRDefault="002F3D70" w:rsidP="00326604">
            <w:pPr>
              <w:jc w:val="center"/>
              <w:rPr>
                <w:rFonts w:ascii="MyriadPro-Regular" w:hAnsi="MyriadPro-Regular"/>
                <w:b/>
                <w:bCs/>
                <w:color w:val="FFFFFF"/>
                <w:sz w:val="20"/>
                <w:szCs w:val="20"/>
              </w:rPr>
            </w:pPr>
            <w:r w:rsidRPr="002F3D70">
              <w:rPr>
                <w:rFonts w:ascii="MyriadPro-Regular" w:hAnsi="MyriadPro-Regular"/>
                <w:b/>
                <w:bCs/>
                <w:color w:val="FFFFFF"/>
                <w:sz w:val="20"/>
                <w:szCs w:val="20"/>
              </w:rPr>
              <w:t>Fuente</w:t>
            </w:r>
          </w:p>
        </w:tc>
        <w:tc>
          <w:tcPr>
            <w:tcW w:w="426" w:type="dxa"/>
            <w:tcBorders>
              <w:top w:val="single" w:sz="8" w:space="0" w:color="auto"/>
              <w:left w:val="nil"/>
              <w:bottom w:val="nil"/>
              <w:right w:val="single" w:sz="8" w:space="0" w:color="auto"/>
            </w:tcBorders>
            <w:shd w:val="clear" w:color="000000" w:fill="808080"/>
            <w:noWrap/>
            <w:vAlign w:val="center"/>
            <w:hideMark/>
          </w:tcPr>
          <w:p w14:paraId="0D23286E" w14:textId="77777777" w:rsidR="002F3D70" w:rsidRPr="002F3D70" w:rsidRDefault="002F3D70" w:rsidP="00326604">
            <w:pPr>
              <w:jc w:val="center"/>
              <w:rPr>
                <w:rFonts w:ascii="MyriadPro-Regular" w:hAnsi="MyriadPro-Regular"/>
                <w:b/>
                <w:bCs/>
                <w:color w:val="FFFFFF"/>
                <w:sz w:val="20"/>
                <w:szCs w:val="20"/>
              </w:rPr>
            </w:pPr>
            <w:proofErr w:type="spellStart"/>
            <w:r w:rsidRPr="002F3D70">
              <w:rPr>
                <w:rFonts w:ascii="MyriadPro-Regular" w:hAnsi="MyriadPro-Regular"/>
                <w:b/>
                <w:bCs/>
                <w:color w:val="FFFFFF"/>
                <w:sz w:val="20"/>
                <w:szCs w:val="20"/>
              </w:rPr>
              <w:t>Rk</w:t>
            </w:r>
            <w:proofErr w:type="spellEnd"/>
          </w:p>
        </w:tc>
        <w:tc>
          <w:tcPr>
            <w:tcW w:w="708" w:type="dxa"/>
            <w:tcBorders>
              <w:top w:val="single" w:sz="8" w:space="0" w:color="auto"/>
              <w:left w:val="nil"/>
              <w:bottom w:val="nil"/>
              <w:right w:val="single" w:sz="8" w:space="0" w:color="auto"/>
            </w:tcBorders>
            <w:shd w:val="clear" w:color="000000" w:fill="808080"/>
            <w:vAlign w:val="center"/>
            <w:hideMark/>
          </w:tcPr>
          <w:p w14:paraId="18D2AB87" w14:textId="77777777" w:rsidR="002F3D70" w:rsidRPr="002F3D70" w:rsidRDefault="002F3D70" w:rsidP="00326604">
            <w:pPr>
              <w:jc w:val="center"/>
              <w:rPr>
                <w:rFonts w:ascii="MyriadPro-Regular" w:hAnsi="MyriadPro-Regular"/>
                <w:b/>
                <w:bCs/>
                <w:color w:val="FFFFFF"/>
                <w:sz w:val="20"/>
                <w:szCs w:val="20"/>
              </w:rPr>
            </w:pPr>
            <w:r w:rsidRPr="002F3D70">
              <w:rPr>
                <w:rFonts w:ascii="MyriadPro-Regular" w:hAnsi="MyriadPro-Regular"/>
                <w:b/>
                <w:bCs/>
                <w:color w:val="FFFFFF"/>
                <w:sz w:val="20"/>
                <w:szCs w:val="20"/>
              </w:rPr>
              <w:t xml:space="preserve">Media </w:t>
            </w:r>
            <w:proofErr w:type="spellStart"/>
            <w:r w:rsidRPr="002F3D70">
              <w:rPr>
                <w:rFonts w:ascii="MyriadPro-Regular" w:hAnsi="MyriadPro-Regular"/>
                <w:b/>
                <w:bCs/>
                <w:color w:val="FFFFFF"/>
                <w:sz w:val="20"/>
                <w:szCs w:val="20"/>
              </w:rPr>
              <w:t>Nac</w:t>
            </w:r>
            <w:proofErr w:type="spellEnd"/>
            <w:r w:rsidRPr="002F3D70">
              <w:rPr>
                <w:rFonts w:ascii="MyriadPro-Regular" w:hAnsi="MyriadPro-Regular"/>
                <w:b/>
                <w:bCs/>
                <w:color w:val="FFFFFF"/>
                <w:sz w:val="20"/>
                <w:szCs w:val="20"/>
              </w:rPr>
              <w:t>.</w:t>
            </w:r>
          </w:p>
        </w:tc>
        <w:tc>
          <w:tcPr>
            <w:tcW w:w="1134" w:type="dxa"/>
            <w:tcBorders>
              <w:top w:val="single" w:sz="8" w:space="0" w:color="auto"/>
              <w:left w:val="nil"/>
              <w:bottom w:val="nil"/>
              <w:right w:val="single" w:sz="8" w:space="0" w:color="auto"/>
            </w:tcBorders>
            <w:shd w:val="clear" w:color="000000" w:fill="808080"/>
            <w:vAlign w:val="center"/>
            <w:hideMark/>
          </w:tcPr>
          <w:p w14:paraId="650B09EC" w14:textId="77777777" w:rsidR="002F3D70" w:rsidRPr="002F3D70" w:rsidRDefault="002F3D70" w:rsidP="00326604">
            <w:pPr>
              <w:jc w:val="center"/>
              <w:rPr>
                <w:rFonts w:ascii="MyriadPro-Regular" w:hAnsi="MyriadPro-Regular"/>
                <w:b/>
                <w:bCs/>
                <w:color w:val="FFFFFF"/>
                <w:sz w:val="20"/>
                <w:szCs w:val="20"/>
              </w:rPr>
            </w:pPr>
            <w:r w:rsidRPr="002F3D70">
              <w:rPr>
                <w:rFonts w:ascii="MyriadPro-Regular" w:hAnsi="MyriadPro-Regular"/>
                <w:b/>
                <w:bCs/>
                <w:color w:val="FFFFFF"/>
                <w:sz w:val="20"/>
                <w:szCs w:val="20"/>
              </w:rPr>
              <w:t>Unidad</w:t>
            </w:r>
          </w:p>
        </w:tc>
        <w:tc>
          <w:tcPr>
            <w:tcW w:w="709" w:type="dxa"/>
            <w:tcBorders>
              <w:top w:val="single" w:sz="8" w:space="0" w:color="auto"/>
              <w:left w:val="nil"/>
              <w:bottom w:val="single" w:sz="8" w:space="0" w:color="auto"/>
              <w:right w:val="single" w:sz="8" w:space="0" w:color="auto"/>
            </w:tcBorders>
            <w:shd w:val="clear" w:color="000000" w:fill="808080"/>
            <w:noWrap/>
            <w:vAlign w:val="center"/>
            <w:hideMark/>
          </w:tcPr>
          <w:p w14:paraId="73887F31" w14:textId="77777777" w:rsidR="002F3D70" w:rsidRPr="002F3D70" w:rsidRDefault="002F3D70" w:rsidP="00326604">
            <w:pPr>
              <w:jc w:val="center"/>
              <w:rPr>
                <w:rFonts w:ascii="MyriadPro-Regular" w:hAnsi="MyriadPro-Regular"/>
                <w:b/>
                <w:bCs/>
                <w:color w:val="FFFFFF"/>
                <w:sz w:val="20"/>
                <w:szCs w:val="20"/>
              </w:rPr>
            </w:pPr>
            <w:r w:rsidRPr="002F3D70">
              <w:rPr>
                <w:rFonts w:ascii="MyriadPro-Regular" w:hAnsi="MyriadPro-Regular"/>
                <w:b/>
                <w:bCs/>
                <w:color w:val="FFFFFF"/>
                <w:sz w:val="20"/>
                <w:szCs w:val="20"/>
              </w:rPr>
              <w:t>2010</w:t>
            </w:r>
          </w:p>
        </w:tc>
        <w:tc>
          <w:tcPr>
            <w:tcW w:w="567" w:type="dxa"/>
            <w:tcBorders>
              <w:top w:val="single" w:sz="8" w:space="0" w:color="auto"/>
              <w:left w:val="nil"/>
              <w:bottom w:val="single" w:sz="8" w:space="0" w:color="auto"/>
              <w:right w:val="single" w:sz="8" w:space="0" w:color="auto"/>
            </w:tcBorders>
            <w:shd w:val="clear" w:color="000000" w:fill="808080"/>
            <w:noWrap/>
            <w:vAlign w:val="center"/>
            <w:hideMark/>
          </w:tcPr>
          <w:p w14:paraId="5684808C" w14:textId="77777777" w:rsidR="002F3D70" w:rsidRPr="002F3D70" w:rsidRDefault="002F3D70" w:rsidP="00326604">
            <w:pPr>
              <w:jc w:val="center"/>
              <w:rPr>
                <w:rFonts w:ascii="MyriadPro-Regular" w:hAnsi="MyriadPro-Regular"/>
                <w:b/>
                <w:bCs/>
                <w:color w:val="FFFFFF"/>
                <w:sz w:val="20"/>
                <w:szCs w:val="20"/>
              </w:rPr>
            </w:pPr>
            <w:r w:rsidRPr="002F3D70">
              <w:rPr>
                <w:rFonts w:ascii="MyriadPro-Regular" w:hAnsi="MyriadPro-Regular"/>
                <w:b/>
                <w:bCs/>
                <w:color w:val="FFFFFF"/>
                <w:sz w:val="20"/>
                <w:szCs w:val="20"/>
              </w:rPr>
              <w:t>2011</w:t>
            </w:r>
          </w:p>
        </w:tc>
        <w:tc>
          <w:tcPr>
            <w:tcW w:w="709" w:type="dxa"/>
            <w:tcBorders>
              <w:top w:val="single" w:sz="8" w:space="0" w:color="auto"/>
              <w:left w:val="nil"/>
              <w:bottom w:val="single" w:sz="8" w:space="0" w:color="auto"/>
              <w:right w:val="single" w:sz="8" w:space="0" w:color="auto"/>
            </w:tcBorders>
            <w:shd w:val="clear" w:color="000000" w:fill="808080"/>
            <w:noWrap/>
            <w:vAlign w:val="center"/>
            <w:hideMark/>
          </w:tcPr>
          <w:p w14:paraId="34445D8A" w14:textId="77777777" w:rsidR="002F3D70" w:rsidRPr="002F3D70" w:rsidRDefault="002F3D70" w:rsidP="00326604">
            <w:pPr>
              <w:jc w:val="center"/>
              <w:rPr>
                <w:rFonts w:ascii="MyriadPro-Regular" w:hAnsi="MyriadPro-Regular"/>
                <w:b/>
                <w:bCs/>
                <w:color w:val="FFFFFF"/>
                <w:sz w:val="20"/>
                <w:szCs w:val="20"/>
              </w:rPr>
            </w:pPr>
            <w:r w:rsidRPr="002F3D70">
              <w:rPr>
                <w:rFonts w:ascii="MyriadPro-Regular" w:hAnsi="MyriadPro-Regular"/>
                <w:b/>
                <w:bCs/>
                <w:color w:val="FFFFFF"/>
                <w:sz w:val="20"/>
                <w:szCs w:val="20"/>
              </w:rPr>
              <w:t>2012</w:t>
            </w:r>
          </w:p>
        </w:tc>
        <w:tc>
          <w:tcPr>
            <w:tcW w:w="567" w:type="dxa"/>
            <w:tcBorders>
              <w:top w:val="single" w:sz="8" w:space="0" w:color="auto"/>
              <w:left w:val="nil"/>
              <w:bottom w:val="single" w:sz="8" w:space="0" w:color="auto"/>
              <w:right w:val="single" w:sz="8" w:space="0" w:color="auto"/>
            </w:tcBorders>
            <w:shd w:val="clear" w:color="000000" w:fill="808080"/>
            <w:noWrap/>
            <w:vAlign w:val="center"/>
            <w:hideMark/>
          </w:tcPr>
          <w:p w14:paraId="3DC55970" w14:textId="77777777" w:rsidR="002F3D70" w:rsidRPr="002F3D70" w:rsidRDefault="002F3D70" w:rsidP="00326604">
            <w:pPr>
              <w:jc w:val="center"/>
              <w:rPr>
                <w:rFonts w:ascii="MyriadPro-Regular" w:hAnsi="MyriadPro-Regular"/>
                <w:b/>
                <w:bCs/>
                <w:color w:val="FFFFFF"/>
                <w:sz w:val="20"/>
                <w:szCs w:val="20"/>
              </w:rPr>
            </w:pPr>
            <w:r w:rsidRPr="002F3D70">
              <w:rPr>
                <w:rFonts w:ascii="MyriadPro-Regular" w:hAnsi="MyriadPro-Regular"/>
                <w:b/>
                <w:bCs/>
                <w:color w:val="FFFFFF"/>
                <w:sz w:val="20"/>
                <w:szCs w:val="20"/>
              </w:rPr>
              <w:t>2013</w:t>
            </w:r>
          </w:p>
        </w:tc>
        <w:tc>
          <w:tcPr>
            <w:tcW w:w="850" w:type="dxa"/>
            <w:tcBorders>
              <w:top w:val="single" w:sz="8" w:space="0" w:color="auto"/>
              <w:left w:val="nil"/>
              <w:bottom w:val="single" w:sz="8" w:space="0" w:color="auto"/>
              <w:right w:val="single" w:sz="8" w:space="0" w:color="auto"/>
            </w:tcBorders>
            <w:shd w:val="clear" w:color="000000" w:fill="808080"/>
            <w:noWrap/>
            <w:vAlign w:val="center"/>
            <w:hideMark/>
          </w:tcPr>
          <w:p w14:paraId="57050384" w14:textId="77777777" w:rsidR="002F3D70" w:rsidRPr="002F3D70" w:rsidRDefault="002F3D70" w:rsidP="00326604">
            <w:pPr>
              <w:jc w:val="center"/>
              <w:rPr>
                <w:rFonts w:ascii="MyriadPro-Regular" w:hAnsi="MyriadPro-Regular"/>
                <w:b/>
                <w:bCs/>
                <w:color w:val="FFFFFF"/>
                <w:sz w:val="20"/>
                <w:szCs w:val="20"/>
              </w:rPr>
            </w:pPr>
            <w:r w:rsidRPr="002F3D70">
              <w:rPr>
                <w:rFonts w:ascii="MyriadPro-Regular" w:hAnsi="MyriadPro-Regular"/>
                <w:b/>
                <w:bCs/>
                <w:color w:val="FFFFFF"/>
                <w:sz w:val="20"/>
                <w:szCs w:val="20"/>
              </w:rPr>
              <w:t>2014</w:t>
            </w:r>
          </w:p>
        </w:tc>
      </w:tr>
      <w:tr w:rsidR="002F3D70" w:rsidRPr="002F3D70" w14:paraId="5E9100BC" w14:textId="77777777" w:rsidTr="00326604">
        <w:trPr>
          <w:trHeight w:val="20"/>
          <w:jc w:val="center"/>
        </w:trPr>
        <w:tc>
          <w:tcPr>
            <w:tcW w:w="2420" w:type="dxa"/>
            <w:tcBorders>
              <w:top w:val="single" w:sz="8" w:space="0" w:color="auto"/>
              <w:left w:val="single" w:sz="8" w:space="0" w:color="auto"/>
              <w:bottom w:val="single" w:sz="8" w:space="0" w:color="auto"/>
              <w:right w:val="single" w:sz="8" w:space="0" w:color="auto"/>
            </w:tcBorders>
            <w:shd w:val="clear" w:color="000000" w:fill="C9C9C9"/>
            <w:tcMar>
              <w:top w:w="0" w:type="dxa"/>
              <w:left w:w="135" w:type="dxa"/>
              <w:bottom w:w="0" w:type="dxa"/>
              <w:right w:w="0" w:type="dxa"/>
            </w:tcMar>
            <w:vAlign w:val="center"/>
            <w:hideMark/>
          </w:tcPr>
          <w:p w14:paraId="1034BF61" w14:textId="77777777" w:rsidR="002F3D70" w:rsidRPr="002F3D70" w:rsidRDefault="002F3D70" w:rsidP="00326604">
            <w:pPr>
              <w:ind w:firstLineChars="5" w:firstLine="10"/>
              <w:rPr>
                <w:rFonts w:ascii="MyriadPro-Regular" w:hAnsi="MyriadPro-Regular"/>
                <w:color w:val="000000"/>
                <w:sz w:val="20"/>
                <w:szCs w:val="20"/>
              </w:rPr>
            </w:pPr>
            <w:r w:rsidRPr="002F3D70">
              <w:rPr>
                <w:rFonts w:ascii="MyriadPro-Regular" w:hAnsi="MyriadPro-Regular"/>
                <w:color w:val="000000"/>
                <w:sz w:val="20"/>
                <w:szCs w:val="20"/>
              </w:rPr>
              <w:t xml:space="preserve">Porcentaje de población en situación de pobreza </w:t>
            </w:r>
          </w:p>
        </w:tc>
        <w:tc>
          <w:tcPr>
            <w:tcW w:w="992" w:type="dxa"/>
            <w:tcBorders>
              <w:top w:val="single" w:sz="8" w:space="0" w:color="auto"/>
              <w:left w:val="nil"/>
              <w:bottom w:val="single" w:sz="8" w:space="0" w:color="auto"/>
              <w:right w:val="single" w:sz="8" w:space="0" w:color="auto"/>
            </w:tcBorders>
            <w:shd w:val="clear" w:color="000000" w:fill="C9C9C9"/>
            <w:noWrap/>
            <w:vAlign w:val="center"/>
            <w:hideMark/>
          </w:tcPr>
          <w:p w14:paraId="529EA9C1"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CONEVAL</w:t>
            </w:r>
          </w:p>
        </w:tc>
        <w:tc>
          <w:tcPr>
            <w:tcW w:w="426" w:type="dxa"/>
            <w:tcBorders>
              <w:top w:val="single" w:sz="8" w:space="0" w:color="auto"/>
              <w:left w:val="nil"/>
              <w:bottom w:val="single" w:sz="8" w:space="0" w:color="auto"/>
              <w:right w:val="single" w:sz="8" w:space="0" w:color="auto"/>
            </w:tcBorders>
            <w:shd w:val="clear" w:color="000000" w:fill="C9C9C9"/>
            <w:noWrap/>
            <w:vAlign w:val="center"/>
            <w:hideMark/>
          </w:tcPr>
          <w:p w14:paraId="2BE32FD3"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5</w:t>
            </w:r>
          </w:p>
        </w:tc>
        <w:tc>
          <w:tcPr>
            <w:tcW w:w="708" w:type="dxa"/>
            <w:tcBorders>
              <w:top w:val="single" w:sz="8" w:space="0" w:color="auto"/>
              <w:left w:val="nil"/>
              <w:bottom w:val="single" w:sz="8" w:space="0" w:color="auto"/>
              <w:right w:val="single" w:sz="8" w:space="0" w:color="auto"/>
            </w:tcBorders>
            <w:shd w:val="clear" w:color="000000" w:fill="C9C9C9"/>
            <w:noWrap/>
            <w:vAlign w:val="center"/>
            <w:hideMark/>
          </w:tcPr>
          <w:p w14:paraId="45AE7BE8"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44.,66</w:t>
            </w:r>
          </w:p>
        </w:tc>
        <w:tc>
          <w:tcPr>
            <w:tcW w:w="1134" w:type="dxa"/>
            <w:tcBorders>
              <w:top w:val="single" w:sz="8" w:space="0" w:color="auto"/>
              <w:left w:val="nil"/>
              <w:bottom w:val="single" w:sz="8" w:space="0" w:color="auto"/>
              <w:right w:val="single" w:sz="8" w:space="0" w:color="auto"/>
            </w:tcBorders>
            <w:shd w:val="clear" w:color="000000" w:fill="C9C9C9"/>
            <w:vAlign w:val="center"/>
            <w:hideMark/>
          </w:tcPr>
          <w:p w14:paraId="51D44D58"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Porcentaje</w:t>
            </w:r>
          </w:p>
        </w:tc>
        <w:tc>
          <w:tcPr>
            <w:tcW w:w="709" w:type="dxa"/>
            <w:tcBorders>
              <w:top w:val="nil"/>
              <w:left w:val="nil"/>
              <w:bottom w:val="single" w:sz="8" w:space="0" w:color="auto"/>
              <w:right w:val="single" w:sz="8" w:space="0" w:color="auto"/>
            </w:tcBorders>
            <w:shd w:val="clear" w:color="000000" w:fill="C9C9C9"/>
            <w:noWrap/>
            <w:vAlign w:val="center"/>
            <w:hideMark/>
          </w:tcPr>
          <w:p w14:paraId="58A80F8B"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54.73</w:t>
            </w:r>
          </w:p>
        </w:tc>
        <w:tc>
          <w:tcPr>
            <w:tcW w:w="567" w:type="dxa"/>
            <w:tcBorders>
              <w:top w:val="nil"/>
              <w:left w:val="nil"/>
              <w:bottom w:val="single" w:sz="8" w:space="0" w:color="auto"/>
              <w:right w:val="single" w:sz="8" w:space="0" w:color="auto"/>
            </w:tcBorders>
            <w:shd w:val="clear" w:color="000000" w:fill="C9C9C9"/>
            <w:noWrap/>
            <w:vAlign w:val="center"/>
            <w:hideMark/>
          </w:tcPr>
          <w:p w14:paraId="42693AE3"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709" w:type="dxa"/>
            <w:tcBorders>
              <w:top w:val="nil"/>
              <w:left w:val="nil"/>
              <w:bottom w:val="single" w:sz="8" w:space="0" w:color="auto"/>
              <w:right w:val="single" w:sz="8" w:space="0" w:color="auto"/>
            </w:tcBorders>
            <w:shd w:val="clear" w:color="000000" w:fill="C9C9C9"/>
            <w:noWrap/>
            <w:vAlign w:val="center"/>
            <w:hideMark/>
          </w:tcPr>
          <w:p w14:paraId="5A04E5D0"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54.37</w:t>
            </w:r>
          </w:p>
        </w:tc>
        <w:tc>
          <w:tcPr>
            <w:tcW w:w="567" w:type="dxa"/>
            <w:tcBorders>
              <w:top w:val="nil"/>
              <w:left w:val="nil"/>
              <w:bottom w:val="single" w:sz="8" w:space="0" w:color="auto"/>
              <w:right w:val="single" w:sz="8" w:space="0" w:color="auto"/>
            </w:tcBorders>
            <w:shd w:val="clear" w:color="000000" w:fill="C9C9C9"/>
            <w:noWrap/>
            <w:vAlign w:val="center"/>
            <w:hideMark/>
          </w:tcPr>
          <w:p w14:paraId="08F1441E"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850" w:type="dxa"/>
            <w:tcBorders>
              <w:top w:val="nil"/>
              <w:left w:val="nil"/>
              <w:bottom w:val="single" w:sz="8" w:space="0" w:color="auto"/>
              <w:right w:val="single" w:sz="8" w:space="0" w:color="auto"/>
            </w:tcBorders>
            <w:shd w:val="clear" w:color="000000" w:fill="C9C9C9"/>
            <w:noWrap/>
            <w:vAlign w:val="center"/>
            <w:hideMark/>
          </w:tcPr>
          <w:p w14:paraId="2ACEE76D"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59.25</w:t>
            </w:r>
          </w:p>
        </w:tc>
      </w:tr>
      <w:tr w:rsidR="002F3D70" w:rsidRPr="002F3D70" w14:paraId="237F2451" w14:textId="77777777" w:rsidTr="00326604">
        <w:trPr>
          <w:trHeight w:val="20"/>
          <w:jc w:val="center"/>
        </w:trPr>
        <w:tc>
          <w:tcPr>
            <w:tcW w:w="2420" w:type="dxa"/>
            <w:tcBorders>
              <w:top w:val="nil"/>
              <w:left w:val="single" w:sz="8" w:space="0" w:color="auto"/>
              <w:bottom w:val="single" w:sz="8" w:space="0" w:color="auto"/>
              <w:right w:val="single" w:sz="8" w:space="0" w:color="auto"/>
            </w:tcBorders>
            <w:shd w:val="clear" w:color="000000" w:fill="EDEDED"/>
            <w:tcMar>
              <w:top w:w="0" w:type="dxa"/>
              <w:left w:w="540" w:type="dxa"/>
              <w:bottom w:w="0" w:type="dxa"/>
              <w:right w:w="0" w:type="dxa"/>
            </w:tcMar>
            <w:vAlign w:val="center"/>
            <w:hideMark/>
          </w:tcPr>
          <w:p w14:paraId="7BD618B7" w14:textId="77777777" w:rsidR="002F3D70" w:rsidRPr="002F3D70" w:rsidRDefault="002F3D70" w:rsidP="00326604">
            <w:pPr>
              <w:ind w:leftChars="-162" w:left="-214" w:hangingChars="71" w:hanging="142"/>
              <w:rPr>
                <w:rFonts w:ascii="MyriadPro-Regular" w:hAnsi="MyriadPro-Regular"/>
                <w:color w:val="000000"/>
                <w:sz w:val="20"/>
                <w:szCs w:val="20"/>
              </w:rPr>
            </w:pPr>
            <w:r w:rsidRPr="002F3D70">
              <w:rPr>
                <w:rFonts w:ascii="MyriadPro-Regular" w:hAnsi="MyriadPro-Regular"/>
                <w:color w:val="000000"/>
                <w:sz w:val="20"/>
                <w:szCs w:val="20"/>
              </w:rPr>
              <w:t>Ingreso inferior a la línea de bienestar</w:t>
            </w:r>
          </w:p>
        </w:tc>
        <w:tc>
          <w:tcPr>
            <w:tcW w:w="992" w:type="dxa"/>
            <w:tcBorders>
              <w:top w:val="nil"/>
              <w:left w:val="nil"/>
              <w:bottom w:val="single" w:sz="8" w:space="0" w:color="auto"/>
              <w:right w:val="single" w:sz="8" w:space="0" w:color="auto"/>
            </w:tcBorders>
            <w:shd w:val="clear" w:color="000000" w:fill="EDEDED"/>
            <w:noWrap/>
            <w:vAlign w:val="center"/>
            <w:hideMark/>
          </w:tcPr>
          <w:p w14:paraId="5F7F1E50"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CONEVAL</w:t>
            </w:r>
          </w:p>
        </w:tc>
        <w:tc>
          <w:tcPr>
            <w:tcW w:w="426" w:type="dxa"/>
            <w:tcBorders>
              <w:top w:val="nil"/>
              <w:left w:val="nil"/>
              <w:bottom w:val="single" w:sz="8" w:space="0" w:color="auto"/>
              <w:right w:val="single" w:sz="8" w:space="0" w:color="auto"/>
            </w:tcBorders>
            <w:shd w:val="clear" w:color="000000" w:fill="EDEDED"/>
            <w:noWrap/>
            <w:vAlign w:val="center"/>
            <w:hideMark/>
          </w:tcPr>
          <w:p w14:paraId="2ABACA64"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6</w:t>
            </w:r>
          </w:p>
        </w:tc>
        <w:tc>
          <w:tcPr>
            <w:tcW w:w="708" w:type="dxa"/>
            <w:tcBorders>
              <w:top w:val="nil"/>
              <w:left w:val="nil"/>
              <w:bottom w:val="single" w:sz="8" w:space="0" w:color="auto"/>
              <w:right w:val="single" w:sz="8" w:space="0" w:color="auto"/>
            </w:tcBorders>
            <w:shd w:val="clear" w:color="000000" w:fill="EDEDED"/>
            <w:noWrap/>
            <w:vAlign w:val="center"/>
            <w:hideMark/>
          </w:tcPr>
          <w:p w14:paraId="5AF3244F"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51.,50</w:t>
            </w:r>
          </w:p>
        </w:tc>
        <w:tc>
          <w:tcPr>
            <w:tcW w:w="1134" w:type="dxa"/>
            <w:tcBorders>
              <w:top w:val="nil"/>
              <w:left w:val="nil"/>
              <w:bottom w:val="single" w:sz="8" w:space="0" w:color="auto"/>
              <w:right w:val="single" w:sz="8" w:space="0" w:color="auto"/>
            </w:tcBorders>
            <w:shd w:val="clear" w:color="000000" w:fill="EDEDED"/>
            <w:vAlign w:val="center"/>
            <w:hideMark/>
          </w:tcPr>
          <w:p w14:paraId="3CC4DD91"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Porcentaje</w:t>
            </w:r>
          </w:p>
        </w:tc>
        <w:tc>
          <w:tcPr>
            <w:tcW w:w="709" w:type="dxa"/>
            <w:tcBorders>
              <w:top w:val="nil"/>
              <w:left w:val="nil"/>
              <w:bottom w:val="single" w:sz="8" w:space="0" w:color="auto"/>
              <w:right w:val="single" w:sz="8" w:space="0" w:color="auto"/>
            </w:tcBorders>
            <w:shd w:val="clear" w:color="000000" w:fill="EDEDED"/>
            <w:noWrap/>
            <w:vAlign w:val="center"/>
            <w:hideMark/>
          </w:tcPr>
          <w:p w14:paraId="6774C89C"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59.10</w:t>
            </w:r>
          </w:p>
        </w:tc>
        <w:tc>
          <w:tcPr>
            <w:tcW w:w="567" w:type="dxa"/>
            <w:tcBorders>
              <w:top w:val="nil"/>
              <w:left w:val="nil"/>
              <w:bottom w:val="single" w:sz="8" w:space="0" w:color="auto"/>
              <w:right w:val="single" w:sz="8" w:space="0" w:color="auto"/>
            </w:tcBorders>
            <w:shd w:val="clear" w:color="000000" w:fill="EDEDED"/>
            <w:noWrap/>
            <w:vAlign w:val="center"/>
            <w:hideMark/>
          </w:tcPr>
          <w:p w14:paraId="0640E6B6"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709" w:type="dxa"/>
            <w:tcBorders>
              <w:top w:val="nil"/>
              <w:left w:val="nil"/>
              <w:bottom w:val="single" w:sz="8" w:space="0" w:color="auto"/>
              <w:right w:val="single" w:sz="8" w:space="0" w:color="auto"/>
            </w:tcBorders>
            <w:shd w:val="clear" w:color="000000" w:fill="EDEDED"/>
            <w:noWrap/>
            <w:vAlign w:val="center"/>
            <w:hideMark/>
          </w:tcPr>
          <w:p w14:paraId="02DF8606"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57.90</w:t>
            </w:r>
          </w:p>
        </w:tc>
        <w:tc>
          <w:tcPr>
            <w:tcW w:w="567" w:type="dxa"/>
            <w:tcBorders>
              <w:top w:val="nil"/>
              <w:left w:val="nil"/>
              <w:bottom w:val="single" w:sz="8" w:space="0" w:color="auto"/>
              <w:right w:val="single" w:sz="8" w:space="0" w:color="auto"/>
            </w:tcBorders>
            <w:shd w:val="clear" w:color="000000" w:fill="EDEDED"/>
            <w:noWrap/>
            <w:vAlign w:val="center"/>
            <w:hideMark/>
          </w:tcPr>
          <w:p w14:paraId="5425469B"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850" w:type="dxa"/>
            <w:tcBorders>
              <w:top w:val="nil"/>
              <w:left w:val="nil"/>
              <w:bottom w:val="single" w:sz="8" w:space="0" w:color="auto"/>
              <w:right w:val="single" w:sz="8" w:space="0" w:color="auto"/>
            </w:tcBorders>
            <w:shd w:val="clear" w:color="000000" w:fill="EDEDED"/>
            <w:noWrap/>
            <w:vAlign w:val="center"/>
            <w:hideMark/>
          </w:tcPr>
          <w:p w14:paraId="35128B84"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63.30</w:t>
            </w:r>
          </w:p>
        </w:tc>
      </w:tr>
      <w:tr w:rsidR="002F3D70" w:rsidRPr="002F3D70" w14:paraId="18A062D2" w14:textId="77777777" w:rsidTr="00326604">
        <w:trPr>
          <w:trHeight w:val="20"/>
          <w:jc w:val="center"/>
        </w:trPr>
        <w:tc>
          <w:tcPr>
            <w:tcW w:w="2420" w:type="dxa"/>
            <w:tcBorders>
              <w:top w:val="nil"/>
              <w:left w:val="single" w:sz="8" w:space="0" w:color="auto"/>
              <w:bottom w:val="single" w:sz="8" w:space="0" w:color="auto"/>
              <w:right w:val="single" w:sz="8" w:space="0" w:color="auto"/>
            </w:tcBorders>
            <w:shd w:val="clear" w:color="000000" w:fill="C9C9C9"/>
            <w:tcMar>
              <w:top w:w="0" w:type="dxa"/>
              <w:left w:w="540" w:type="dxa"/>
              <w:bottom w:w="0" w:type="dxa"/>
              <w:right w:w="0" w:type="dxa"/>
            </w:tcMar>
            <w:vAlign w:val="center"/>
            <w:hideMark/>
          </w:tcPr>
          <w:p w14:paraId="5FA0F757" w14:textId="77777777" w:rsidR="002F3D70" w:rsidRPr="002F3D70" w:rsidRDefault="002F3D70" w:rsidP="00326604">
            <w:pPr>
              <w:ind w:leftChars="-162" w:left="-214" w:hangingChars="71" w:hanging="142"/>
              <w:rPr>
                <w:rFonts w:ascii="MyriadPro-Regular" w:hAnsi="MyriadPro-Regular"/>
                <w:color w:val="000000"/>
                <w:sz w:val="20"/>
                <w:szCs w:val="20"/>
              </w:rPr>
            </w:pPr>
            <w:r w:rsidRPr="002F3D70">
              <w:rPr>
                <w:rFonts w:ascii="MyriadPro-Regular" w:hAnsi="MyriadPro-Regular"/>
                <w:color w:val="000000"/>
                <w:sz w:val="20"/>
                <w:szCs w:val="20"/>
              </w:rPr>
              <w:t xml:space="preserve">- Rezago educativo </w:t>
            </w:r>
          </w:p>
        </w:tc>
        <w:tc>
          <w:tcPr>
            <w:tcW w:w="992" w:type="dxa"/>
            <w:tcBorders>
              <w:top w:val="nil"/>
              <w:left w:val="nil"/>
              <w:bottom w:val="single" w:sz="8" w:space="0" w:color="auto"/>
              <w:right w:val="single" w:sz="8" w:space="0" w:color="auto"/>
            </w:tcBorders>
            <w:shd w:val="clear" w:color="000000" w:fill="C9C9C9"/>
            <w:noWrap/>
            <w:vAlign w:val="center"/>
            <w:hideMark/>
          </w:tcPr>
          <w:p w14:paraId="3D3D9C1F"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CONEVAL</w:t>
            </w:r>
          </w:p>
        </w:tc>
        <w:tc>
          <w:tcPr>
            <w:tcW w:w="426" w:type="dxa"/>
            <w:tcBorders>
              <w:top w:val="nil"/>
              <w:left w:val="nil"/>
              <w:bottom w:val="single" w:sz="8" w:space="0" w:color="auto"/>
              <w:right w:val="single" w:sz="8" w:space="0" w:color="auto"/>
            </w:tcBorders>
            <w:shd w:val="clear" w:color="000000" w:fill="C9C9C9"/>
            <w:noWrap/>
            <w:vAlign w:val="center"/>
            <w:hideMark/>
          </w:tcPr>
          <w:p w14:paraId="7F9B3117"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3</w:t>
            </w:r>
          </w:p>
        </w:tc>
        <w:tc>
          <w:tcPr>
            <w:tcW w:w="708" w:type="dxa"/>
            <w:tcBorders>
              <w:top w:val="nil"/>
              <w:left w:val="nil"/>
              <w:bottom w:val="single" w:sz="8" w:space="0" w:color="auto"/>
              <w:right w:val="single" w:sz="8" w:space="0" w:color="auto"/>
            </w:tcBorders>
            <w:shd w:val="clear" w:color="000000" w:fill="C9C9C9"/>
            <w:noWrap/>
            <w:vAlign w:val="center"/>
            <w:hideMark/>
          </w:tcPr>
          <w:p w14:paraId="7FB74BC4"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36.10</w:t>
            </w:r>
          </w:p>
        </w:tc>
        <w:tc>
          <w:tcPr>
            <w:tcW w:w="1134" w:type="dxa"/>
            <w:tcBorders>
              <w:top w:val="nil"/>
              <w:left w:val="nil"/>
              <w:bottom w:val="single" w:sz="8" w:space="0" w:color="auto"/>
              <w:right w:val="single" w:sz="8" w:space="0" w:color="auto"/>
            </w:tcBorders>
            <w:shd w:val="clear" w:color="000000" w:fill="C9C9C9"/>
            <w:vAlign w:val="center"/>
            <w:hideMark/>
          </w:tcPr>
          <w:p w14:paraId="35E2ADB1"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Porcentaje</w:t>
            </w:r>
          </w:p>
        </w:tc>
        <w:tc>
          <w:tcPr>
            <w:tcW w:w="709" w:type="dxa"/>
            <w:tcBorders>
              <w:top w:val="nil"/>
              <w:left w:val="nil"/>
              <w:bottom w:val="single" w:sz="8" w:space="0" w:color="auto"/>
              <w:right w:val="single" w:sz="8" w:space="0" w:color="auto"/>
            </w:tcBorders>
            <w:shd w:val="clear" w:color="000000" w:fill="C9C9C9"/>
            <w:noWrap/>
            <w:vAlign w:val="center"/>
            <w:hideMark/>
          </w:tcPr>
          <w:p w14:paraId="542E3325"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30.6</w:t>
            </w:r>
          </w:p>
        </w:tc>
        <w:tc>
          <w:tcPr>
            <w:tcW w:w="567" w:type="dxa"/>
            <w:tcBorders>
              <w:top w:val="nil"/>
              <w:left w:val="nil"/>
              <w:bottom w:val="single" w:sz="8" w:space="0" w:color="auto"/>
              <w:right w:val="single" w:sz="8" w:space="0" w:color="auto"/>
            </w:tcBorders>
            <w:shd w:val="clear" w:color="000000" w:fill="C9C9C9"/>
            <w:noWrap/>
            <w:vAlign w:val="center"/>
            <w:hideMark/>
          </w:tcPr>
          <w:p w14:paraId="0B6CF619"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709" w:type="dxa"/>
            <w:tcBorders>
              <w:top w:val="nil"/>
              <w:left w:val="nil"/>
              <w:bottom w:val="single" w:sz="8" w:space="0" w:color="auto"/>
              <w:right w:val="single" w:sz="8" w:space="0" w:color="auto"/>
            </w:tcBorders>
            <w:shd w:val="clear" w:color="000000" w:fill="C9C9C9"/>
            <w:noWrap/>
            <w:vAlign w:val="center"/>
            <w:hideMark/>
          </w:tcPr>
          <w:p w14:paraId="6E29E6E2"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26.10</w:t>
            </w:r>
          </w:p>
        </w:tc>
        <w:tc>
          <w:tcPr>
            <w:tcW w:w="567" w:type="dxa"/>
            <w:tcBorders>
              <w:top w:val="nil"/>
              <w:left w:val="nil"/>
              <w:bottom w:val="single" w:sz="8" w:space="0" w:color="auto"/>
              <w:right w:val="single" w:sz="8" w:space="0" w:color="auto"/>
            </w:tcBorders>
            <w:shd w:val="clear" w:color="000000" w:fill="C9C9C9"/>
            <w:noWrap/>
            <w:vAlign w:val="center"/>
            <w:hideMark/>
          </w:tcPr>
          <w:p w14:paraId="588B6915"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850" w:type="dxa"/>
            <w:tcBorders>
              <w:top w:val="nil"/>
              <w:left w:val="nil"/>
              <w:bottom w:val="single" w:sz="8" w:space="0" w:color="auto"/>
              <w:right w:val="single" w:sz="8" w:space="0" w:color="auto"/>
            </w:tcBorders>
            <w:shd w:val="clear" w:color="000000" w:fill="C9C9C9"/>
            <w:noWrap/>
            <w:vAlign w:val="center"/>
            <w:hideMark/>
          </w:tcPr>
          <w:p w14:paraId="774B2391"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27.60</w:t>
            </w:r>
          </w:p>
        </w:tc>
      </w:tr>
      <w:tr w:rsidR="002F3D70" w:rsidRPr="002F3D70" w14:paraId="28E2851D" w14:textId="77777777" w:rsidTr="00326604">
        <w:trPr>
          <w:trHeight w:val="20"/>
          <w:jc w:val="center"/>
        </w:trPr>
        <w:tc>
          <w:tcPr>
            <w:tcW w:w="2420" w:type="dxa"/>
            <w:tcBorders>
              <w:top w:val="nil"/>
              <w:left w:val="single" w:sz="8" w:space="0" w:color="auto"/>
              <w:bottom w:val="single" w:sz="8" w:space="0" w:color="auto"/>
              <w:right w:val="single" w:sz="8" w:space="0" w:color="auto"/>
            </w:tcBorders>
            <w:shd w:val="clear" w:color="000000" w:fill="EDEDED"/>
            <w:tcMar>
              <w:top w:w="0" w:type="dxa"/>
              <w:left w:w="540" w:type="dxa"/>
              <w:bottom w:w="0" w:type="dxa"/>
              <w:right w:w="0" w:type="dxa"/>
            </w:tcMar>
            <w:vAlign w:val="center"/>
            <w:hideMark/>
          </w:tcPr>
          <w:p w14:paraId="5BFBD08E" w14:textId="77777777" w:rsidR="002F3D70" w:rsidRPr="002F3D70" w:rsidRDefault="002F3D70" w:rsidP="00326604">
            <w:pPr>
              <w:ind w:leftChars="-162" w:left="-214" w:hangingChars="71" w:hanging="142"/>
              <w:rPr>
                <w:rFonts w:ascii="MyriadPro-Regular" w:hAnsi="MyriadPro-Regular"/>
                <w:color w:val="000000"/>
                <w:sz w:val="20"/>
                <w:szCs w:val="20"/>
              </w:rPr>
            </w:pPr>
            <w:r w:rsidRPr="002F3D70">
              <w:rPr>
                <w:rFonts w:ascii="MyriadPro-Regular" w:hAnsi="MyriadPro-Regular"/>
                <w:color w:val="000000"/>
                <w:sz w:val="20"/>
                <w:szCs w:val="20"/>
              </w:rPr>
              <w:t>- Carencia por acceso a los servicios de salud</w:t>
            </w:r>
          </w:p>
        </w:tc>
        <w:tc>
          <w:tcPr>
            <w:tcW w:w="992" w:type="dxa"/>
            <w:tcBorders>
              <w:top w:val="nil"/>
              <w:left w:val="nil"/>
              <w:bottom w:val="single" w:sz="8" w:space="0" w:color="auto"/>
              <w:right w:val="nil"/>
            </w:tcBorders>
            <w:shd w:val="clear" w:color="000000" w:fill="EDEDED"/>
            <w:noWrap/>
            <w:vAlign w:val="center"/>
            <w:hideMark/>
          </w:tcPr>
          <w:p w14:paraId="667CAF40"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CONEVAL</w:t>
            </w:r>
          </w:p>
        </w:tc>
        <w:tc>
          <w:tcPr>
            <w:tcW w:w="426" w:type="dxa"/>
            <w:tcBorders>
              <w:top w:val="nil"/>
              <w:left w:val="single" w:sz="8" w:space="0" w:color="auto"/>
              <w:bottom w:val="single" w:sz="8" w:space="0" w:color="auto"/>
              <w:right w:val="single" w:sz="8" w:space="0" w:color="auto"/>
            </w:tcBorders>
            <w:shd w:val="clear" w:color="000000" w:fill="EDEDED"/>
            <w:noWrap/>
            <w:vAlign w:val="center"/>
            <w:hideMark/>
          </w:tcPr>
          <w:p w14:paraId="585C1805"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1</w:t>
            </w:r>
          </w:p>
        </w:tc>
        <w:tc>
          <w:tcPr>
            <w:tcW w:w="708" w:type="dxa"/>
            <w:tcBorders>
              <w:top w:val="nil"/>
              <w:left w:val="nil"/>
              <w:bottom w:val="single" w:sz="8" w:space="0" w:color="auto"/>
              <w:right w:val="single" w:sz="8" w:space="0" w:color="auto"/>
            </w:tcBorders>
            <w:shd w:val="clear" w:color="000000" w:fill="EDEDED"/>
            <w:noWrap/>
            <w:vAlign w:val="center"/>
            <w:hideMark/>
          </w:tcPr>
          <w:p w14:paraId="601255A0"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16.82</w:t>
            </w:r>
          </w:p>
        </w:tc>
        <w:tc>
          <w:tcPr>
            <w:tcW w:w="1134" w:type="dxa"/>
            <w:tcBorders>
              <w:top w:val="nil"/>
              <w:left w:val="nil"/>
              <w:bottom w:val="single" w:sz="8" w:space="0" w:color="auto"/>
              <w:right w:val="single" w:sz="8" w:space="0" w:color="auto"/>
            </w:tcBorders>
            <w:shd w:val="clear" w:color="000000" w:fill="EDEDED"/>
            <w:vAlign w:val="center"/>
            <w:hideMark/>
          </w:tcPr>
          <w:p w14:paraId="3A6BC4D9"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Porcentaje</w:t>
            </w:r>
          </w:p>
        </w:tc>
        <w:tc>
          <w:tcPr>
            <w:tcW w:w="709" w:type="dxa"/>
            <w:tcBorders>
              <w:top w:val="nil"/>
              <w:left w:val="nil"/>
              <w:bottom w:val="single" w:sz="8" w:space="0" w:color="auto"/>
              <w:right w:val="single" w:sz="8" w:space="0" w:color="auto"/>
            </w:tcBorders>
            <w:shd w:val="clear" w:color="000000" w:fill="EDEDED"/>
            <w:noWrap/>
            <w:vAlign w:val="center"/>
            <w:hideMark/>
          </w:tcPr>
          <w:p w14:paraId="536B9DFC"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38.20</w:t>
            </w:r>
          </w:p>
        </w:tc>
        <w:tc>
          <w:tcPr>
            <w:tcW w:w="567" w:type="dxa"/>
            <w:tcBorders>
              <w:top w:val="nil"/>
              <w:left w:val="nil"/>
              <w:bottom w:val="single" w:sz="8" w:space="0" w:color="auto"/>
              <w:right w:val="single" w:sz="8" w:space="0" w:color="auto"/>
            </w:tcBorders>
            <w:shd w:val="clear" w:color="000000" w:fill="EDEDED"/>
            <w:noWrap/>
            <w:vAlign w:val="center"/>
            <w:hideMark/>
          </w:tcPr>
          <w:p w14:paraId="6298AEA0"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709" w:type="dxa"/>
            <w:tcBorders>
              <w:top w:val="nil"/>
              <w:left w:val="nil"/>
              <w:bottom w:val="single" w:sz="8" w:space="0" w:color="auto"/>
              <w:right w:val="single" w:sz="8" w:space="0" w:color="auto"/>
            </w:tcBorders>
            <w:shd w:val="clear" w:color="000000" w:fill="EDEDED"/>
            <w:noWrap/>
            <w:vAlign w:val="center"/>
            <w:hideMark/>
          </w:tcPr>
          <w:p w14:paraId="1670276A"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28.60</w:t>
            </w:r>
          </w:p>
        </w:tc>
        <w:tc>
          <w:tcPr>
            <w:tcW w:w="567" w:type="dxa"/>
            <w:tcBorders>
              <w:top w:val="nil"/>
              <w:left w:val="nil"/>
              <w:bottom w:val="single" w:sz="8" w:space="0" w:color="auto"/>
              <w:right w:val="single" w:sz="8" w:space="0" w:color="auto"/>
            </w:tcBorders>
            <w:shd w:val="clear" w:color="000000" w:fill="EDEDED"/>
            <w:noWrap/>
            <w:vAlign w:val="center"/>
            <w:hideMark/>
          </w:tcPr>
          <w:p w14:paraId="67A4C793"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850" w:type="dxa"/>
            <w:tcBorders>
              <w:top w:val="nil"/>
              <w:left w:val="nil"/>
              <w:bottom w:val="single" w:sz="8" w:space="0" w:color="auto"/>
              <w:right w:val="single" w:sz="8" w:space="0" w:color="auto"/>
            </w:tcBorders>
            <w:shd w:val="clear" w:color="000000" w:fill="EDEDED"/>
            <w:noWrap/>
            <w:vAlign w:val="center"/>
            <w:hideMark/>
          </w:tcPr>
          <w:p w14:paraId="378949D7"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26.20</w:t>
            </w:r>
          </w:p>
        </w:tc>
      </w:tr>
      <w:tr w:rsidR="002F3D70" w:rsidRPr="002F3D70" w14:paraId="1A4660E5" w14:textId="77777777" w:rsidTr="00326604">
        <w:trPr>
          <w:trHeight w:val="20"/>
          <w:jc w:val="center"/>
        </w:trPr>
        <w:tc>
          <w:tcPr>
            <w:tcW w:w="2420" w:type="dxa"/>
            <w:tcBorders>
              <w:top w:val="nil"/>
              <w:left w:val="single" w:sz="8" w:space="0" w:color="auto"/>
              <w:bottom w:val="single" w:sz="8" w:space="0" w:color="auto"/>
              <w:right w:val="single" w:sz="8" w:space="0" w:color="auto"/>
            </w:tcBorders>
            <w:shd w:val="clear" w:color="000000" w:fill="C9C9C9"/>
            <w:tcMar>
              <w:top w:w="0" w:type="dxa"/>
              <w:left w:w="540" w:type="dxa"/>
              <w:bottom w:w="0" w:type="dxa"/>
              <w:right w:w="0" w:type="dxa"/>
            </w:tcMar>
            <w:vAlign w:val="center"/>
            <w:hideMark/>
          </w:tcPr>
          <w:p w14:paraId="1519725E" w14:textId="77777777" w:rsidR="002F3D70" w:rsidRPr="002F3D70" w:rsidRDefault="002F3D70" w:rsidP="00326604">
            <w:pPr>
              <w:ind w:leftChars="-162" w:left="-214" w:hangingChars="71" w:hanging="142"/>
              <w:rPr>
                <w:rFonts w:ascii="MyriadPro-Regular" w:hAnsi="MyriadPro-Regular"/>
                <w:color w:val="000000"/>
                <w:sz w:val="20"/>
                <w:szCs w:val="20"/>
              </w:rPr>
            </w:pPr>
            <w:r w:rsidRPr="002F3D70">
              <w:rPr>
                <w:rFonts w:ascii="MyriadPro-Regular" w:hAnsi="MyriadPro-Regular"/>
                <w:color w:val="000000"/>
                <w:sz w:val="20"/>
                <w:szCs w:val="20"/>
              </w:rPr>
              <w:t xml:space="preserve">- Carencia por acceso a la seguridad social </w:t>
            </w:r>
          </w:p>
        </w:tc>
        <w:tc>
          <w:tcPr>
            <w:tcW w:w="992" w:type="dxa"/>
            <w:tcBorders>
              <w:top w:val="nil"/>
              <w:left w:val="nil"/>
              <w:bottom w:val="single" w:sz="8" w:space="0" w:color="auto"/>
              <w:right w:val="nil"/>
            </w:tcBorders>
            <w:shd w:val="clear" w:color="000000" w:fill="C9C9C9"/>
            <w:noWrap/>
            <w:vAlign w:val="center"/>
            <w:hideMark/>
          </w:tcPr>
          <w:p w14:paraId="0C4548E8"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CONEVAL</w:t>
            </w:r>
          </w:p>
        </w:tc>
        <w:tc>
          <w:tcPr>
            <w:tcW w:w="426" w:type="dxa"/>
            <w:tcBorders>
              <w:top w:val="nil"/>
              <w:left w:val="single" w:sz="8" w:space="0" w:color="auto"/>
              <w:bottom w:val="single" w:sz="8" w:space="0" w:color="auto"/>
              <w:right w:val="single" w:sz="8" w:space="0" w:color="auto"/>
            </w:tcBorders>
            <w:shd w:val="clear" w:color="000000" w:fill="C9C9C9"/>
            <w:noWrap/>
            <w:vAlign w:val="center"/>
            <w:hideMark/>
          </w:tcPr>
          <w:p w14:paraId="590AAE11"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7</w:t>
            </w:r>
          </w:p>
        </w:tc>
        <w:tc>
          <w:tcPr>
            <w:tcW w:w="708" w:type="dxa"/>
            <w:tcBorders>
              <w:top w:val="nil"/>
              <w:left w:val="nil"/>
              <w:bottom w:val="single" w:sz="8" w:space="0" w:color="auto"/>
              <w:right w:val="single" w:sz="8" w:space="0" w:color="auto"/>
            </w:tcBorders>
            <w:shd w:val="clear" w:color="000000" w:fill="C9C9C9"/>
            <w:noWrap/>
            <w:vAlign w:val="center"/>
            <w:hideMark/>
          </w:tcPr>
          <w:p w14:paraId="09C4AE73"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57.41</w:t>
            </w:r>
          </w:p>
        </w:tc>
        <w:tc>
          <w:tcPr>
            <w:tcW w:w="1134" w:type="dxa"/>
            <w:tcBorders>
              <w:top w:val="nil"/>
              <w:left w:val="nil"/>
              <w:bottom w:val="single" w:sz="8" w:space="0" w:color="auto"/>
              <w:right w:val="single" w:sz="8" w:space="0" w:color="auto"/>
            </w:tcBorders>
            <w:shd w:val="clear" w:color="000000" w:fill="C9C9C9"/>
            <w:vAlign w:val="center"/>
            <w:hideMark/>
          </w:tcPr>
          <w:p w14:paraId="5965374F"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Porcentaje</w:t>
            </w:r>
          </w:p>
        </w:tc>
        <w:tc>
          <w:tcPr>
            <w:tcW w:w="709" w:type="dxa"/>
            <w:tcBorders>
              <w:top w:val="nil"/>
              <w:left w:val="nil"/>
              <w:bottom w:val="single" w:sz="8" w:space="0" w:color="auto"/>
              <w:right w:val="single" w:sz="8" w:space="0" w:color="auto"/>
            </w:tcBorders>
            <w:shd w:val="clear" w:color="000000" w:fill="C9C9C9"/>
            <w:noWrap/>
            <w:vAlign w:val="center"/>
            <w:hideMark/>
          </w:tcPr>
          <w:p w14:paraId="1B07C11F"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72.20</w:t>
            </w:r>
          </w:p>
        </w:tc>
        <w:tc>
          <w:tcPr>
            <w:tcW w:w="567" w:type="dxa"/>
            <w:tcBorders>
              <w:top w:val="nil"/>
              <w:left w:val="nil"/>
              <w:bottom w:val="single" w:sz="8" w:space="0" w:color="auto"/>
              <w:right w:val="single" w:sz="8" w:space="0" w:color="auto"/>
            </w:tcBorders>
            <w:shd w:val="clear" w:color="000000" w:fill="C9C9C9"/>
            <w:noWrap/>
            <w:vAlign w:val="center"/>
            <w:hideMark/>
          </w:tcPr>
          <w:p w14:paraId="13887990"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709" w:type="dxa"/>
            <w:tcBorders>
              <w:top w:val="nil"/>
              <w:left w:val="nil"/>
              <w:bottom w:val="single" w:sz="8" w:space="0" w:color="auto"/>
              <w:right w:val="single" w:sz="8" w:space="0" w:color="auto"/>
            </w:tcBorders>
            <w:shd w:val="clear" w:color="000000" w:fill="C9C9C9"/>
            <w:noWrap/>
            <w:vAlign w:val="center"/>
            <w:hideMark/>
          </w:tcPr>
          <w:p w14:paraId="75AC3EBC"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71.60</w:t>
            </w:r>
          </w:p>
        </w:tc>
        <w:tc>
          <w:tcPr>
            <w:tcW w:w="567" w:type="dxa"/>
            <w:tcBorders>
              <w:top w:val="nil"/>
              <w:left w:val="nil"/>
              <w:bottom w:val="single" w:sz="8" w:space="0" w:color="auto"/>
              <w:right w:val="single" w:sz="8" w:space="0" w:color="auto"/>
            </w:tcBorders>
            <w:shd w:val="clear" w:color="000000" w:fill="C9C9C9"/>
            <w:noWrap/>
            <w:vAlign w:val="center"/>
            <w:hideMark/>
          </w:tcPr>
          <w:p w14:paraId="6BEF9FB1"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850" w:type="dxa"/>
            <w:tcBorders>
              <w:top w:val="nil"/>
              <w:left w:val="nil"/>
              <w:bottom w:val="single" w:sz="8" w:space="0" w:color="auto"/>
              <w:right w:val="single" w:sz="8" w:space="0" w:color="auto"/>
            </w:tcBorders>
            <w:shd w:val="clear" w:color="000000" w:fill="C9C9C9"/>
            <w:noWrap/>
            <w:vAlign w:val="center"/>
            <w:hideMark/>
          </w:tcPr>
          <w:p w14:paraId="62CE2AA1"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71.30</w:t>
            </w:r>
          </w:p>
        </w:tc>
      </w:tr>
      <w:tr w:rsidR="002F3D70" w:rsidRPr="002F3D70" w14:paraId="0F1B8A52" w14:textId="77777777" w:rsidTr="00326604">
        <w:trPr>
          <w:trHeight w:val="20"/>
          <w:jc w:val="center"/>
        </w:trPr>
        <w:tc>
          <w:tcPr>
            <w:tcW w:w="2420" w:type="dxa"/>
            <w:tcBorders>
              <w:top w:val="nil"/>
              <w:left w:val="single" w:sz="8" w:space="0" w:color="auto"/>
              <w:bottom w:val="single" w:sz="8" w:space="0" w:color="auto"/>
              <w:right w:val="single" w:sz="8" w:space="0" w:color="auto"/>
            </w:tcBorders>
            <w:shd w:val="clear" w:color="000000" w:fill="EDEDED"/>
            <w:tcMar>
              <w:top w:w="0" w:type="dxa"/>
              <w:left w:w="540" w:type="dxa"/>
              <w:bottom w:w="0" w:type="dxa"/>
              <w:right w:w="0" w:type="dxa"/>
            </w:tcMar>
            <w:vAlign w:val="center"/>
            <w:hideMark/>
          </w:tcPr>
          <w:p w14:paraId="18FFF514" w14:textId="77777777" w:rsidR="002F3D70" w:rsidRPr="002F3D70" w:rsidRDefault="002F3D70" w:rsidP="00326604">
            <w:pPr>
              <w:ind w:leftChars="-162" w:left="-214" w:hangingChars="71" w:hanging="142"/>
              <w:rPr>
                <w:rFonts w:ascii="MyriadPro-Regular" w:hAnsi="MyriadPro-Regular"/>
                <w:color w:val="000000"/>
                <w:sz w:val="20"/>
                <w:szCs w:val="20"/>
              </w:rPr>
            </w:pPr>
            <w:r w:rsidRPr="002F3D70">
              <w:rPr>
                <w:rFonts w:ascii="MyriadPro-Regular" w:hAnsi="MyriadPro-Regular"/>
                <w:color w:val="000000"/>
                <w:sz w:val="20"/>
                <w:szCs w:val="20"/>
              </w:rPr>
              <w:t>- Carencia por calidad y espacios de la vivienda</w:t>
            </w:r>
          </w:p>
        </w:tc>
        <w:tc>
          <w:tcPr>
            <w:tcW w:w="992" w:type="dxa"/>
            <w:tcBorders>
              <w:top w:val="nil"/>
              <w:left w:val="nil"/>
              <w:bottom w:val="single" w:sz="8" w:space="0" w:color="auto"/>
              <w:right w:val="nil"/>
            </w:tcBorders>
            <w:shd w:val="clear" w:color="000000" w:fill="EDEDED"/>
            <w:noWrap/>
            <w:vAlign w:val="center"/>
            <w:hideMark/>
          </w:tcPr>
          <w:p w14:paraId="2E69C979"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CONEVAL</w:t>
            </w:r>
          </w:p>
        </w:tc>
        <w:tc>
          <w:tcPr>
            <w:tcW w:w="426" w:type="dxa"/>
            <w:tcBorders>
              <w:top w:val="nil"/>
              <w:left w:val="single" w:sz="8" w:space="0" w:color="auto"/>
              <w:bottom w:val="single" w:sz="8" w:space="0" w:color="auto"/>
              <w:right w:val="single" w:sz="8" w:space="0" w:color="auto"/>
            </w:tcBorders>
            <w:shd w:val="clear" w:color="000000" w:fill="EDEDED"/>
            <w:noWrap/>
            <w:vAlign w:val="center"/>
            <w:hideMark/>
          </w:tcPr>
          <w:p w14:paraId="2B62EC31"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10</w:t>
            </w:r>
          </w:p>
        </w:tc>
        <w:tc>
          <w:tcPr>
            <w:tcW w:w="708" w:type="dxa"/>
            <w:tcBorders>
              <w:top w:val="nil"/>
              <w:left w:val="nil"/>
              <w:bottom w:val="single" w:sz="8" w:space="0" w:color="auto"/>
              <w:right w:val="single" w:sz="8" w:space="0" w:color="auto"/>
            </w:tcBorders>
            <w:shd w:val="clear" w:color="000000" w:fill="EDEDED"/>
            <w:noWrap/>
            <w:vAlign w:val="center"/>
            <w:hideMark/>
          </w:tcPr>
          <w:p w14:paraId="0D0BE759"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12.41</w:t>
            </w:r>
          </w:p>
        </w:tc>
        <w:tc>
          <w:tcPr>
            <w:tcW w:w="1134" w:type="dxa"/>
            <w:tcBorders>
              <w:top w:val="nil"/>
              <w:left w:val="nil"/>
              <w:bottom w:val="single" w:sz="8" w:space="0" w:color="auto"/>
              <w:right w:val="single" w:sz="8" w:space="0" w:color="auto"/>
            </w:tcBorders>
            <w:shd w:val="clear" w:color="000000" w:fill="EDEDED"/>
            <w:vAlign w:val="center"/>
            <w:hideMark/>
          </w:tcPr>
          <w:p w14:paraId="1CB7091E"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Porcentaje</w:t>
            </w:r>
          </w:p>
        </w:tc>
        <w:tc>
          <w:tcPr>
            <w:tcW w:w="709" w:type="dxa"/>
            <w:tcBorders>
              <w:top w:val="nil"/>
              <w:left w:val="nil"/>
              <w:bottom w:val="single" w:sz="8" w:space="0" w:color="auto"/>
              <w:right w:val="single" w:sz="8" w:space="0" w:color="auto"/>
            </w:tcBorders>
            <w:shd w:val="clear" w:color="000000" w:fill="EDEDED"/>
            <w:noWrap/>
            <w:vAlign w:val="center"/>
            <w:hideMark/>
          </w:tcPr>
          <w:p w14:paraId="34E577D3"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22.40</w:t>
            </w:r>
          </w:p>
        </w:tc>
        <w:tc>
          <w:tcPr>
            <w:tcW w:w="567" w:type="dxa"/>
            <w:tcBorders>
              <w:top w:val="nil"/>
              <w:left w:val="nil"/>
              <w:bottom w:val="single" w:sz="8" w:space="0" w:color="auto"/>
              <w:right w:val="single" w:sz="8" w:space="0" w:color="auto"/>
            </w:tcBorders>
            <w:shd w:val="clear" w:color="000000" w:fill="EDEDED"/>
            <w:noWrap/>
            <w:vAlign w:val="center"/>
            <w:hideMark/>
          </w:tcPr>
          <w:p w14:paraId="6232AEC5"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709" w:type="dxa"/>
            <w:tcBorders>
              <w:top w:val="nil"/>
              <w:left w:val="nil"/>
              <w:bottom w:val="single" w:sz="8" w:space="0" w:color="auto"/>
              <w:right w:val="single" w:sz="8" w:space="0" w:color="auto"/>
            </w:tcBorders>
            <w:shd w:val="clear" w:color="000000" w:fill="EDEDED"/>
            <w:noWrap/>
            <w:vAlign w:val="center"/>
            <w:hideMark/>
          </w:tcPr>
          <w:p w14:paraId="4D67A298"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21.10</w:t>
            </w:r>
          </w:p>
        </w:tc>
        <w:tc>
          <w:tcPr>
            <w:tcW w:w="567" w:type="dxa"/>
            <w:tcBorders>
              <w:top w:val="nil"/>
              <w:left w:val="nil"/>
              <w:bottom w:val="single" w:sz="8" w:space="0" w:color="auto"/>
              <w:right w:val="single" w:sz="8" w:space="0" w:color="auto"/>
            </w:tcBorders>
            <w:shd w:val="clear" w:color="000000" w:fill="EDEDED"/>
            <w:noWrap/>
            <w:vAlign w:val="center"/>
            <w:hideMark/>
          </w:tcPr>
          <w:p w14:paraId="1BD571B2"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850" w:type="dxa"/>
            <w:tcBorders>
              <w:top w:val="nil"/>
              <w:left w:val="nil"/>
              <w:bottom w:val="single" w:sz="8" w:space="0" w:color="auto"/>
              <w:right w:val="single" w:sz="8" w:space="0" w:color="auto"/>
            </w:tcBorders>
            <w:shd w:val="clear" w:color="000000" w:fill="EDEDED"/>
            <w:noWrap/>
            <w:vAlign w:val="center"/>
            <w:hideMark/>
          </w:tcPr>
          <w:p w14:paraId="66777049"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15.40</w:t>
            </w:r>
          </w:p>
        </w:tc>
      </w:tr>
      <w:tr w:rsidR="002F3D70" w:rsidRPr="002F3D70" w14:paraId="557B9B92" w14:textId="77777777" w:rsidTr="00326604">
        <w:trPr>
          <w:trHeight w:val="20"/>
          <w:jc w:val="center"/>
        </w:trPr>
        <w:tc>
          <w:tcPr>
            <w:tcW w:w="2420" w:type="dxa"/>
            <w:tcBorders>
              <w:top w:val="nil"/>
              <w:left w:val="single" w:sz="8" w:space="0" w:color="auto"/>
              <w:bottom w:val="single" w:sz="8" w:space="0" w:color="auto"/>
              <w:right w:val="single" w:sz="8" w:space="0" w:color="auto"/>
            </w:tcBorders>
            <w:shd w:val="clear" w:color="000000" w:fill="C9C9C9"/>
            <w:tcMar>
              <w:top w:w="0" w:type="dxa"/>
              <w:left w:w="540" w:type="dxa"/>
              <w:bottom w:w="0" w:type="dxa"/>
              <w:right w:w="0" w:type="dxa"/>
            </w:tcMar>
            <w:vAlign w:val="center"/>
            <w:hideMark/>
          </w:tcPr>
          <w:p w14:paraId="2E96318C" w14:textId="77777777" w:rsidR="002F3D70" w:rsidRPr="002F3D70" w:rsidRDefault="002F3D70" w:rsidP="00326604">
            <w:pPr>
              <w:ind w:leftChars="-162" w:left="-214" w:hangingChars="71" w:hanging="142"/>
              <w:rPr>
                <w:rFonts w:ascii="MyriadPro-Regular" w:hAnsi="MyriadPro-Regular"/>
                <w:color w:val="000000"/>
                <w:sz w:val="20"/>
                <w:szCs w:val="20"/>
              </w:rPr>
            </w:pPr>
            <w:r w:rsidRPr="002F3D70">
              <w:rPr>
                <w:rFonts w:ascii="MyriadPro-Regular" w:hAnsi="MyriadPro-Regular"/>
                <w:color w:val="000000"/>
                <w:sz w:val="20"/>
                <w:szCs w:val="20"/>
              </w:rPr>
              <w:t>- Carencia por servicios básicos en la vivienda</w:t>
            </w:r>
          </w:p>
        </w:tc>
        <w:tc>
          <w:tcPr>
            <w:tcW w:w="992" w:type="dxa"/>
            <w:tcBorders>
              <w:top w:val="nil"/>
              <w:left w:val="nil"/>
              <w:bottom w:val="single" w:sz="8" w:space="0" w:color="auto"/>
              <w:right w:val="nil"/>
            </w:tcBorders>
            <w:shd w:val="clear" w:color="000000" w:fill="C9C9C9"/>
            <w:noWrap/>
            <w:vAlign w:val="center"/>
            <w:hideMark/>
          </w:tcPr>
          <w:p w14:paraId="52F7A5D2"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CONEVAL</w:t>
            </w:r>
          </w:p>
        </w:tc>
        <w:tc>
          <w:tcPr>
            <w:tcW w:w="426" w:type="dxa"/>
            <w:tcBorders>
              <w:top w:val="nil"/>
              <w:left w:val="single" w:sz="8" w:space="0" w:color="auto"/>
              <w:bottom w:val="single" w:sz="8" w:space="0" w:color="auto"/>
              <w:right w:val="single" w:sz="8" w:space="0" w:color="auto"/>
            </w:tcBorders>
            <w:shd w:val="clear" w:color="000000" w:fill="C9C9C9"/>
            <w:noWrap/>
            <w:vAlign w:val="center"/>
            <w:hideMark/>
          </w:tcPr>
          <w:p w14:paraId="01A13A97"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11</w:t>
            </w:r>
          </w:p>
        </w:tc>
        <w:tc>
          <w:tcPr>
            <w:tcW w:w="708" w:type="dxa"/>
            <w:tcBorders>
              <w:top w:val="nil"/>
              <w:left w:val="nil"/>
              <w:bottom w:val="single" w:sz="8" w:space="0" w:color="auto"/>
              <w:right w:val="single" w:sz="8" w:space="0" w:color="auto"/>
            </w:tcBorders>
            <w:shd w:val="clear" w:color="000000" w:fill="C9C9C9"/>
            <w:noWrap/>
            <w:vAlign w:val="center"/>
            <w:hideMark/>
          </w:tcPr>
          <w:p w14:paraId="21516968"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21.64</w:t>
            </w:r>
          </w:p>
        </w:tc>
        <w:tc>
          <w:tcPr>
            <w:tcW w:w="1134" w:type="dxa"/>
            <w:tcBorders>
              <w:top w:val="nil"/>
              <w:left w:val="nil"/>
              <w:bottom w:val="single" w:sz="8" w:space="0" w:color="auto"/>
              <w:right w:val="single" w:sz="8" w:space="0" w:color="auto"/>
            </w:tcBorders>
            <w:shd w:val="clear" w:color="000000" w:fill="C9C9C9"/>
            <w:vAlign w:val="center"/>
            <w:hideMark/>
          </w:tcPr>
          <w:p w14:paraId="4B457740"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Porcentaje</w:t>
            </w:r>
          </w:p>
        </w:tc>
        <w:tc>
          <w:tcPr>
            <w:tcW w:w="709" w:type="dxa"/>
            <w:tcBorders>
              <w:top w:val="nil"/>
              <w:left w:val="nil"/>
              <w:bottom w:val="single" w:sz="8" w:space="0" w:color="auto"/>
              <w:right w:val="single" w:sz="8" w:space="0" w:color="auto"/>
            </w:tcBorders>
            <w:shd w:val="clear" w:color="000000" w:fill="C9C9C9"/>
            <w:noWrap/>
            <w:vAlign w:val="center"/>
            <w:hideMark/>
          </w:tcPr>
          <w:p w14:paraId="42FCA7A2"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27.20</w:t>
            </w:r>
          </w:p>
        </w:tc>
        <w:tc>
          <w:tcPr>
            <w:tcW w:w="567" w:type="dxa"/>
            <w:tcBorders>
              <w:top w:val="nil"/>
              <w:left w:val="nil"/>
              <w:bottom w:val="single" w:sz="8" w:space="0" w:color="auto"/>
              <w:right w:val="single" w:sz="8" w:space="0" w:color="auto"/>
            </w:tcBorders>
            <w:shd w:val="clear" w:color="000000" w:fill="C9C9C9"/>
            <w:noWrap/>
            <w:vAlign w:val="center"/>
            <w:hideMark/>
          </w:tcPr>
          <w:p w14:paraId="71B7B7AF"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709" w:type="dxa"/>
            <w:tcBorders>
              <w:top w:val="nil"/>
              <w:left w:val="nil"/>
              <w:bottom w:val="single" w:sz="8" w:space="0" w:color="auto"/>
              <w:right w:val="single" w:sz="8" w:space="0" w:color="auto"/>
            </w:tcBorders>
            <w:shd w:val="clear" w:color="000000" w:fill="C9C9C9"/>
            <w:noWrap/>
            <w:vAlign w:val="center"/>
            <w:hideMark/>
          </w:tcPr>
          <w:p w14:paraId="300E9981"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30.4</w:t>
            </w:r>
          </w:p>
        </w:tc>
        <w:tc>
          <w:tcPr>
            <w:tcW w:w="567" w:type="dxa"/>
            <w:tcBorders>
              <w:top w:val="nil"/>
              <w:left w:val="nil"/>
              <w:bottom w:val="single" w:sz="8" w:space="0" w:color="auto"/>
              <w:right w:val="single" w:sz="8" w:space="0" w:color="auto"/>
            </w:tcBorders>
            <w:shd w:val="clear" w:color="000000" w:fill="C9C9C9"/>
            <w:noWrap/>
            <w:vAlign w:val="center"/>
            <w:hideMark/>
          </w:tcPr>
          <w:p w14:paraId="3B23B71D"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850" w:type="dxa"/>
            <w:tcBorders>
              <w:top w:val="nil"/>
              <w:left w:val="nil"/>
              <w:bottom w:val="single" w:sz="8" w:space="0" w:color="auto"/>
              <w:right w:val="single" w:sz="8" w:space="0" w:color="auto"/>
            </w:tcBorders>
            <w:shd w:val="clear" w:color="000000" w:fill="C9C9C9"/>
            <w:noWrap/>
            <w:vAlign w:val="center"/>
            <w:hideMark/>
          </w:tcPr>
          <w:p w14:paraId="6434B7CA"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26.60</w:t>
            </w:r>
          </w:p>
        </w:tc>
      </w:tr>
      <w:tr w:rsidR="002F3D70" w:rsidRPr="002F3D70" w14:paraId="4A295FB1" w14:textId="77777777" w:rsidTr="00326604">
        <w:trPr>
          <w:trHeight w:val="20"/>
          <w:jc w:val="center"/>
        </w:trPr>
        <w:tc>
          <w:tcPr>
            <w:tcW w:w="2420" w:type="dxa"/>
            <w:tcBorders>
              <w:top w:val="nil"/>
              <w:left w:val="single" w:sz="8" w:space="0" w:color="auto"/>
              <w:bottom w:val="single" w:sz="8" w:space="0" w:color="auto"/>
              <w:right w:val="single" w:sz="8" w:space="0" w:color="auto"/>
            </w:tcBorders>
            <w:shd w:val="clear" w:color="000000" w:fill="EDEDED"/>
            <w:tcMar>
              <w:top w:w="0" w:type="dxa"/>
              <w:left w:w="540" w:type="dxa"/>
              <w:bottom w:w="0" w:type="dxa"/>
              <w:right w:w="0" w:type="dxa"/>
            </w:tcMar>
            <w:vAlign w:val="center"/>
            <w:hideMark/>
          </w:tcPr>
          <w:p w14:paraId="020C0C0E" w14:textId="77777777" w:rsidR="002F3D70" w:rsidRPr="002F3D70" w:rsidRDefault="002F3D70" w:rsidP="00326604">
            <w:pPr>
              <w:ind w:leftChars="-162" w:left="-214" w:hangingChars="71" w:hanging="142"/>
              <w:rPr>
                <w:rFonts w:ascii="MyriadPro-Regular" w:hAnsi="MyriadPro-Regular"/>
                <w:color w:val="000000"/>
                <w:sz w:val="20"/>
                <w:szCs w:val="20"/>
              </w:rPr>
            </w:pPr>
            <w:r w:rsidRPr="002F3D70">
              <w:rPr>
                <w:rFonts w:ascii="MyriadPro-Regular" w:hAnsi="MyriadPro-Regular"/>
                <w:color w:val="000000"/>
                <w:sz w:val="20"/>
                <w:szCs w:val="20"/>
              </w:rPr>
              <w:t>- Carencia por acceso a la alimentación</w:t>
            </w:r>
          </w:p>
        </w:tc>
        <w:tc>
          <w:tcPr>
            <w:tcW w:w="992" w:type="dxa"/>
            <w:tcBorders>
              <w:top w:val="nil"/>
              <w:left w:val="nil"/>
              <w:bottom w:val="single" w:sz="8" w:space="0" w:color="auto"/>
              <w:right w:val="nil"/>
            </w:tcBorders>
            <w:shd w:val="clear" w:color="000000" w:fill="EDEDED"/>
            <w:noWrap/>
            <w:vAlign w:val="center"/>
            <w:hideMark/>
          </w:tcPr>
          <w:p w14:paraId="23372AA9"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CONEVAL</w:t>
            </w:r>
          </w:p>
        </w:tc>
        <w:tc>
          <w:tcPr>
            <w:tcW w:w="426" w:type="dxa"/>
            <w:tcBorders>
              <w:top w:val="nil"/>
              <w:left w:val="single" w:sz="8" w:space="0" w:color="auto"/>
              <w:bottom w:val="single" w:sz="8" w:space="0" w:color="auto"/>
              <w:right w:val="single" w:sz="8" w:space="0" w:color="auto"/>
            </w:tcBorders>
            <w:shd w:val="clear" w:color="000000" w:fill="EDEDED"/>
            <w:noWrap/>
            <w:vAlign w:val="center"/>
            <w:hideMark/>
          </w:tcPr>
          <w:p w14:paraId="166C6A5E"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4</w:t>
            </w:r>
          </w:p>
        </w:tc>
        <w:tc>
          <w:tcPr>
            <w:tcW w:w="708" w:type="dxa"/>
            <w:tcBorders>
              <w:top w:val="nil"/>
              <w:left w:val="nil"/>
              <w:bottom w:val="single" w:sz="8" w:space="0" w:color="auto"/>
              <w:right w:val="single" w:sz="8" w:space="0" w:color="auto"/>
            </w:tcBorders>
            <w:shd w:val="clear" w:color="000000" w:fill="EDEDED"/>
            <w:noWrap/>
            <w:vAlign w:val="center"/>
            <w:hideMark/>
          </w:tcPr>
          <w:p w14:paraId="583961E0"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24.14</w:t>
            </w:r>
          </w:p>
        </w:tc>
        <w:tc>
          <w:tcPr>
            <w:tcW w:w="1134" w:type="dxa"/>
            <w:tcBorders>
              <w:top w:val="nil"/>
              <w:left w:val="nil"/>
              <w:bottom w:val="single" w:sz="8" w:space="0" w:color="auto"/>
              <w:right w:val="single" w:sz="8" w:space="0" w:color="auto"/>
            </w:tcBorders>
            <w:shd w:val="clear" w:color="000000" w:fill="EDEDED"/>
            <w:vAlign w:val="center"/>
            <w:hideMark/>
          </w:tcPr>
          <w:p w14:paraId="2C6CC463"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Porcentaje</w:t>
            </w:r>
          </w:p>
        </w:tc>
        <w:tc>
          <w:tcPr>
            <w:tcW w:w="709" w:type="dxa"/>
            <w:tcBorders>
              <w:top w:val="nil"/>
              <w:left w:val="nil"/>
              <w:bottom w:val="single" w:sz="8" w:space="0" w:color="auto"/>
              <w:right w:val="single" w:sz="8" w:space="0" w:color="auto"/>
            </w:tcBorders>
            <w:shd w:val="clear" w:color="000000" w:fill="EDEDED"/>
            <w:noWrap/>
            <w:vAlign w:val="center"/>
            <w:hideMark/>
          </w:tcPr>
          <w:p w14:paraId="63B6E706"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28.80</w:t>
            </w:r>
          </w:p>
        </w:tc>
        <w:tc>
          <w:tcPr>
            <w:tcW w:w="567" w:type="dxa"/>
            <w:tcBorders>
              <w:top w:val="nil"/>
              <w:left w:val="nil"/>
              <w:bottom w:val="single" w:sz="8" w:space="0" w:color="auto"/>
              <w:right w:val="single" w:sz="8" w:space="0" w:color="auto"/>
            </w:tcBorders>
            <w:shd w:val="clear" w:color="000000" w:fill="EDEDED"/>
            <w:noWrap/>
            <w:vAlign w:val="center"/>
            <w:hideMark/>
          </w:tcPr>
          <w:p w14:paraId="7AC9C1F2"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709" w:type="dxa"/>
            <w:tcBorders>
              <w:top w:val="nil"/>
              <w:left w:val="nil"/>
              <w:bottom w:val="single" w:sz="8" w:space="0" w:color="auto"/>
              <w:right w:val="single" w:sz="8" w:space="0" w:color="auto"/>
            </w:tcBorders>
            <w:shd w:val="clear" w:color="000000" w:fill="EDEDED"/>
            <w:noWrap/>
            <w:vAlign w:val="center"/>
            <w:hideMark/>
          </w:tcPr>
          <w:p w14:paraId="292248EB"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32.20</w:t>
            </w:r>
          </w:p>
        </w:tc>
        <w:tc>
          <w:tcPr>
            <w:tcW w:w="567" w:type="dxa"/>
            <w:tcBorders>
              <w:top w:val="nil"/>
              <w:left w:val="nil"/>
              <w:bottom w:val="single" w:sz="8" w:space="0" w:color="auto"/>
              <w:right w:val="single" w:sz="8" w:space="0" w:color="auto"/>
            </w:tcBorders>
            <w:shd w:val="clear" w:color="000000" w:fill="EDEDED"/>
            <w:noWrap/>
            <w:vAlign w:val="center"/>
            <w:hideMark/>
          </w:tcPr>
          <w:p w14:paraId="23541758"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850" w:type="dxa"/>
            <w:tcBorders>
              <w:top w:val="nil"/>
              <w:left w:val="nil"/>
              <w:bottom w:val="single" w:sz="8" w:space="0" w:color="auto"/>
              <w:right w:val="single" w:sz="8" w:space="0" w:color="auto"/>
            </w:tcBorders>
            <w:shd w:val="clear" w:color="000000" w:fill="EDEDED"/>
            <w:noWrap/>
            <w:vAlign w:val="center"/>
            <w:hideMark/>
          </w:tcPr>
          <w:p w14:paraId="6C1058BE"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34.70</w:t>
            </w:r>
          </w:p>
        </w:tc>
      </w:tr>
      <w:tr w:rsidR="002F3D70" w:rsidRPr="002F3D70" w14:paraId="20B0EEEA" w14:textId="77777777" w:rsidTr="00326604">
        <w:trPr>
          <w:trHeight w:val="20"/>
          <w:jc w:val="center"/>
        </w:trPr>
        <w:tc>
          <w:tcPr>
            <w:tcW w:w="2420" w:type="dxa"/>
            <w:tcBorders>
              <w:top w:val="nil"/>
              <w:left w:val="single" w:sz="8" w:space="0" w:color="auto"/>
              <w:bottom w:val="single" w:sz="8" w:space="0" w:color="auto"/>
              <w:right w:val="single" w:sz="8" w:space="0" w:color="auto"/>
            </w:tcBorders>
            <w:shd w:val="clear" w:color="000000" w:fill="C9C9C9"/>
            <w:tcMar>
              <w:top w:w="0" w:type="dxa"/>
              <w:left w:w="540" w:type="dxa"/>
              <w:bottom w:w="0" w:type="dxa"/>
              <w:right w:w="0" w:type="dxa"/>
            </w:tcMar>
            <w:vAlign w:val="center"/>
            <w:hideMark/>
          </w:tcPr>
          <w:p w14:paraId="3048EE15" w14:textId="77777777" w:rsidR="002F3D70" w:rsidRPr="002F3D70" w:rsidRDefault="002F3D70" w:rsidP="00326604">
            <w:pPr>
              <w:ind w:leftChars="-162" w:left="-214" w:hangingChars="71" w:hanging="142"/>
              <w:rPr>
                <w:rFonts w:ascii="MyriadPro-Regular" w:hAnsi="MyriadPro-Regular"/>
                <w:color w:val="000000"/>
                <w:sz w:val="20"/>
                <w:szCs w:val="20"/>
              </w:rPr>
            </w:pPr>
            <w:r w:rsidRPr="002F3D70">
              <w:rPr>
                <w:rFonts w:ascii="MyriadPro-Regular" w:hAnsi="MyriadPro-Regular"/>
                <w:color w:val="000000"/>
                <w:sz w:val="20"/>
                <w:szCs w:val="20"/>
              </w:rPr>
              <w:t>Grado de cohesión social</w:t>
            </w:r>
          </w:p>
        </w:tc>
        <w:tc>
          <w:tcPr>
            <w:tcW w:w="992" w:type="dxa"/>
            <w:tcBorders>
              <w:top w:val="nil"/>
              <w:left w:val="nil"/>
              <w:bottom w:val="single" w:sz="8" w:space="0" w:color="auto"/>
              <w:right w:val="nil"/>
            </w:tcBorders>
            <w:shd w:val="clear" w:color="000000" w:fill="C9C9C9"/>
            <w:noWrap/>
            <w:vAlign w:val="center"/>
            <w:hideMark/>
          </w:tcPr>
          <w:p w14:paraId="78E25ADE"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CONEVAL</w:t>
            </w:r>
          </w:p>
        </w:tc>
        <w:tc>
          <w:tcPr>
            <w:tcW w:w="426" w:type="dxa"/>
            <w:tcBorders>
              <w:top w:val="nil"/>
              <w:left w:val="single" w:sz="8" w:space="0" w:color="auto"/>
              <w:bottom w:val="single" w:sz="8" w:space="0" w:color="auto"/>
              <w:right w:val="single" w:sz="8" w:space="0" w:color="auto"/>
            </w:tcBorders>
            <w:shd w:val="clear" w:color="000000" w:fill="C9C9C9"/>
            <w:noWrap/>
            <w:vAlign w:val="center"/>
            <w:hideMark/>
          </w:tcPr>
          <w:p w14:paraId="1EC4DC2E"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708" w:type="dxa"/>
            <w:tcBorders>
              <w:top w:val="nil"/>
              <w:left w:val="nil"/>
              <w:bottom w:val="single" w:sz="8" w:space="0" w:color="auto"/>
              <w:right w:val="single" w:sz="8" w:space="0" w:color="auto"/>
            </w:tcBorders>
            <w:shd w:val="clear" w:color="000000" w:fill="C9C9C9"/>
            <w:noWrap/>
            <w:vAlign w:val="center"/>
            <w:hideMark/>
          </w:tcPr>
          <w:p w14:paraId="013F88FC"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1134" w:type="dxa"/>
            <w:tcBorders>
              <w:top w:val="nil"/>
              <w:left w:val="nil"/>
              <w:bottom w:val="single" w:sz="8" w:space="0" w:color="auto"/>
              <w:right w:val="single" w:sz="8" w:space="0" w:color="auto"/>
            </w:tcBorders>
            <w:shd w:val="clear" w:color="000000" w:fill="C9C9C9"/>
            <w:vAlign w:val="center"/>
            <w:hideMark/>
          </w:tcPr>
          <w:p w14:paraId="7D76EED4"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Grado</w:t>
            </w:r>
          </w:p>
        </w:tc>
        <w:tc>
          <w:tcPr>
            <w:tcW w:w="709" w:type="dxa"/>
            <w:tcBorders>
              <w:top w:val="nil"/>
              <w:left w:val="nil"/>
              <w:bottom w:val="single" w:sz="8" w:space="0" w:color="auto"/>
              <w:right w:val="single" w:sz="8" w:space="0" w:color="auto"/>
            </w:tcBorders>
            <w:shd w:val="clear" w:color="000000" w:fill="C9C9C9"/>
            <w:noWrap/>
            <w:vAlign w:val="center"/>
            <w:hideMark/>
          </w:tcPr>
          <w:p w14:paraId="56B53F90"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 xml:space="preserve">Alta </w:t>
            </w:r>
          </w:p>
        </w:tc>
        <w:tc>
          <w:tcPr>
            <w:tcW w:w="567" w:type="dxa"/>
            <w:tcBorders>
              <w:top w:val="nil"/>
              <w:left w:val="nil"/>
              <w:bottom w:val="single" w:sz="8" w:space="0" w:color="auto"/>
              <w:right w:val="single" w:sz="8" w:space="0" w:color="auto"/>
            </w:tcBorders>
            <w:shd w:val="clear" w:color="000000" w:fill="C9C9C9"/>
            <w:noWrap/>
            <w:vAlign w:val="center"/>
            <w:hideMark/>
          </w:tcPr>
          <w:p w14:paraId="02546922"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709" w:type="dxa"/>
            <w:tcBorders>
              <w:top w:val="nil"/>
              <w:left w:val="nil"/>
              <w:bottom w:val="single" w:sz="8" w:space="0" w:color="auto"/>
              <w:right w:val="single" w:sz="8" w:space="0" w:color="auto"/>
            </w:tcBorders>
            <w:shd w:val="clear" w:color="000000" w:fill="C9C9C9"/>
            <w:noWrap/>
            <w:vAlign w:val="center"/>
            <w:hideMark/>
          </w:tcPr>
          <w:p w14:paraId="7B51ED74"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567" w:type="dxa"/>
            <w:tcBorders>
              <w:top w:val="nil"/>
              <w:left w:val="nil"/>
              <w:bottom w:val="single" w:sz="8" w:space="0" w:color="auto"/>
              <w:right w:val="single" w:sz="8" w:space="0" w:color="auto"/>
            </w:tcBorders>
            <w:shd w:val="clear" w:color="000000" w:fill="C9C9C9"/>
            <w:noWrap/>
            <w:vAlign w:val="center"/>
            <w:hideMark/>
          </w:tcPr>
          <w:p w14:paraId="110F6C83"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850" w:type="dxa"/>
            <w:tcBorders>
              <w:top w:val="nil"/>
              <w:left w:val="nil"/>
              <w:bottom w:val="single" w:sz="8" w:space="0" w:color="auto"/>
              <w:right w:val="single" w:sz="8" w:space="0" w:color="auto"/>
            </w:tcBorders>
            <w:shd w:val="clear" w:color="000000" w:fill="C9C9C9"/>
            <w:noWrap/>
            <w:vAlign w:val="center"/>
            <w:hideMark/>
          </w:tcPr>
          <w:p w14:paraId="17C2A141"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r>
      <w:tr w:rsidR="002F3D70" w:rsidRPr="002F3D70" w14:paraId="4A6A6D2A" w14:textId="77777777" w:rsidTr="00326604">
        <w:trPr>
          <w:trHeight w:val="20"/>
          <w:jc w:val="center"/>
        </w:trPr>
        <w:tc>
          <w:tcPr>
            <w:tcW w:w="2420" w:type="dxa"/>
            <w:tcBorders>
              <w:top w:val="nil"/>
              <w:left w:val="single" w:sz="8" w:space="0" w:color="auto"/>
              <w:bottom w:val="single" w:sz="8" w:space="0" w:color="auto"/>
              <w:right w:val="single" w:sz="8" w:space="0" w:color="auto"/>
            </w:tcBorders>
            <w:shd w:val="clear" w:color="000000" w:fill="EDEDED"/>
            <w:tcMar>
              <w:top w:w="0" w:type="dxa"/>
              <w:left w:w="135" w:type="dxa"/>
              <w:bottom w:w="0" w:type="dxa"/>
              <w:right w:w="0" w:type="dxa"/>
            </w:tcMar>
            <w:vAlign w:val="center"/>
            <w:hideMark/>
          </w:tcPr>
          <w:p w14:paraId="3ECA589B" w14:textId="77777777" w:rsidR="002F3D70" w:rsidRPr="002F3D70" w:rsidRDefault="002F3D70" w:rsidP="00326604">
            <w:pPr>
              <w:ind w:firstLineChars="5" w:firstLine="10"/>
              <w:rPr>
                <w:rFonts w:ascii="MyriadPro-Regular" w:hAnsi="MyriadPro-Regular"/>
                <w:color w:val="000000"/>
                <w:sz w:val="20"/>
                <w:szCs w:val="20"/>
              </w:rPr>
            </w:pPr>
            <w:r w:rsidRPr="002F3D70">
              <w:rPr>
                <w:rFonts w:ascii="MyriadPro-Regular" w:hAnsi="MyriadPro-Regular"/>
                <w:color w:val="000000"/>
                <w:sz w:val="20"/>
                <w:szCs w:val="20"/>
              </w:rPr>
              <w:t xml:space="preserve">Porcentaje de población con seguridad social </w:t>
            </w:r>
          </w:p>
        </w:tc>
        <w:tc>
          <w:tcPr>
            <w:tcW w:w="992" w:type="dxa"/>
            <w:tcBorders>
              <w:top w:val="nil"/>
              <w:left w:val="nil"/>
              <w:bottom w:val="single" w:sz="8" w:space="0" w:color="auto"/>
              <w:right w:val="nil"/>
            </w:tcBorders>
            <w:shd w:val="clear" w:color="000000" w:fill="EDEDED"/>
            <w:noWrap/>
            <w:vAlign w:val="center"/>
            <w:hideMark/>
          </w:tcPr>
          <w:p w14:paraId="73B604BA"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INEGI</w:t>
            </w:r>
          </w:p>
        </w:tc>
        <w:tc>
          <w:tcPr>
            <w:tcW w:w="426" w:type="dxa"/>
            <w:tcBorders>
              <w:top w:val="nil"/>
              <w:left w:val="single" w:sz="8" w:space="0" w:color="auto"/>
              <w:bottom w:val="single" w:sz="8" w:space="0" w:color="auto"/>
              <w:right w:val="single" w:sz="8" w:space="0" w:color="auto"/>
            </w:tcBorders>
            <w:shd w:val="clear" w:color="000000" w:fill="EDEDED"/>
            <w:noWrap/>
            <w:vAlign w:val="center"/>
            <w:hideMark/>
          </w:tcPr>
          <w:p w14:paraId="28E04C48"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32</w:t>
            </w:r>
          </w:p>
        </w:tc>
        <w:tc>
          <w:tcPr>
            <w:tcW w:w="708" w:type="dxa"/>
            <w:tcBorders>
              <w:top w:val="nil"/>
              <w:left w:val="nil"/>
              <w:bottom w:val="single" w:sz="8" w:space="0" w:color="auto"/>
              <w:right w:val="single" w:sz="8" w:space="0" w:color="auto"/>
            </w:tcBorders>
            <w:shd w:val="clear" w:color="000000" w:fill="EDEDED"/>
            <w:noWrap/>
            <w:vAlign w:val="center"/>
            <w:hideMark/>
          </w:tcPr>
          <w:p w14:paraId="3FDB319C"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83.70</w:t>
            </w:r>
          </w:p>
        </w:tc>
        <w:tc>
          <w:tcPr>
            <w:tcW w:w="1134" w:type="dxa"/>
            <w:tcBorders>
              <w:top w:val="nil"/>
              <w:left w:val="nil"/>
              <w:bottom w:val="single" w:sz="8" w:space="0" w:color="auto"/>
              <w:right w:val="single" w:sz="8" w:space="0" w:color="auto"/>
            </w:tcBorders>
            <w:shd w:val="clear" w:color="000000" w:fill="EDEDED"/>
            <w:vAlign w:val="center"/>
            <w:hideMark/>
          </w:tcPr>
          <w:p w14:paraId="570B0423"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Porcentaje</w:t>
            </w:r>
          </w:p>
        </w:tc>
        <w:tc>
          <w:tcPr>
            <w:tcW w:w="709" w:type="dxa"/>
            <w:tcBorders>
              <w:top w:val="nil"/>
              <w:left w:val="nil"/>
              <w:bottom w:val="single" w:sz="8" w:space="0" w:color="auto"/>
              <w:right w:val="single" w:sz="8" w:space="0" w:color="auto"/>
            </w:tcBorders>
            <w:shd w:val="clear" w:color="000000" w:fill="EDEDED"/>
            <w:noWrap/>
            <w:vAlign w:val="center"/>
            <w:hideMark/>
          </w:tcPr>
          <w:p w14:paraId="5CAAA414"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54.20</w:t>
            </w:r>
          </w:p>
        </w:tc>
        <w:tc>
          <w:tcPr>
            <w:tcW w:w="567" w:type="dxa"/>
            <w:tcBorders>
              <w:top w:val="nil"/>
              <w:left w:val="nil"/>
              <w:bottom w:val="single" w:sz="8" w:space="0" w:color="auto"/>
              <w:right w:val="single" w:sz="8" w:space="0" w:color="auto"/>
            </w:tcBorders>
            <w:shd w:val="clear" w:color="000000" w:fill="EDEDED"/>
            <w:noWrap/>
            <w:vAlign w:val="center"/>
            <w:hideMark/>
          </w:tcPr>
          <w:p w14:paraId="19658CA7"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709" w:type="dxa"/>
            <w:tcBorders>
              <w:top w:val="nil"/>
              <w:left w:val="nil"/>
              <w:bottom w:val="single" w:sz="8" w:space="0" w:color="auto"/>
              <w:right w:val="single" w:sz="8" w:space="0" w:color="auto"/>
            </w:tcBorders>
            <w:shd w:val="clear" w:color="000000" w:fill="EDEDED"/>
            <w:noWrap/>
            <w:vAlign w:val="center"/>
            <w:hideMark/>
          </w:tcPr>
          <w:p w14:paraId="67D1A008"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567" w:type="dxa"/>
            <w:tcBorders>
              <w:top w:val="nil"/>
              <w:left w:val="nil"/>
              <w:bottom w:val="single" w:sz="8" w:space="0" w:color="auto"/>
              <w:right w:val="single" w:sz="8" w:space="0" w:color="auto"/>
            </w:tcBorders>
            <w:shd w:val="clear" w:color="000000" w:fill="EDEDED"/>
            <w:noWrap/>
            <w:vAlign w:val="center"/>
            <w:hideMark/>
          </w:tcPr>
          <w:p w14:paraId="6FF54A0A"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68.90</w:t>
            </w:r>
          </w:p>
        </w:tc>
        <w:tc>
          <w:tcPr>
            <w:tcW w:w="850" w:type="dxa"/>
            <w:tcBorders>
              <w:top w:val="nil"/>
              <w:left w:val="nil"/>
              <w:bottom w:val="single" w:sz="8" w:space="0" w:color="auto"/>
              <w:right w:val="single" w:sz="8" w:space="0" w:color="auto"/>
            </w:tcBorders>
            <w:shd w:val="clear" w:color="000000" w:fill="EDEDED"/>
            <w:noWrap/>
            <w:vAlign w:val="center"/>
            <w:hideMark/>
          </w:tcPr>
          <w:p w14:paraId="30265A7E"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r>
      <w:tr w:rsidR="002F3D70" w:rsidRPr="002F3D70" w14:paraId="307AFFF0" w14:textId="77777777" w:rsidTr="00326604">
        <w:trPr>
          <w:trHeight w:val="20"/>
          <w:jc w:val="center"/>
        </w:trPr>
        <w:tc>
          <w:tcPr>
            <w:tcW w:w="2420" w:type="dxa"/>
            <w:tcBorders>
              <w:top w:val="nil"/>
              <w:left w:val="single" w:sz="8" w:space="0" w:color="auto"/>
              <w:bottom w:val="single" w:sz="8" w:space="0" w:color="auto"/>
              <w:right w:val="single" w:sz="8" w:space="0" w:color="auto"/>
            </w:tcBorders>
            <w:shd w:val="clear" w:color="000000" w:fill="C9C9C9"/>
            <w:vAlign w:val="center"/>
            <w:hideMark/>
          </w:tcPr>
          <w:p w14:paraId="6FEAB27B" w14:textId="77777777" w:rsidR="002F3D70" w:rsidRPr="002F3D70" w:rsidRDefault="002F3D70" w:rsidP="00326604">
            <w:pPr>
              <w:ind w:firstLineChars="5" w:firstLine="10"/>
              <w:rPr>
                <w:rFonts w:ascii="MyriadPro-Regular" w:hAnsi="MyriadPro-Regular"/>
                <w:color w:val="000000"/>
                <w:sz w:val="20"/>
                <w:szCs w:val="20"/>
              </w:rPr>
            </w:pPr>
            <w:r w:rsidRPr="002F3D70">
              <w:rPr>
                <w:rFonts w:ascii="MyriadPro-Regular" w:hAnsi="MyriadPro-Regular"/>
                <w:color w:val="000000"/>
                <w:sz w:val="20"/>
                <w:szCs w:val="20"/>
              </w:rPr>
              <w:t xml:space="preserve">  Coeficiente de Desigualdad de Ingresos (Índice de </w:t>
            </w:r>
            <w:proofErr w:type="spellStart"/>
            <w:r w:rsidRPr="002F3D70">
              <w:rPr>
                <w:rFonts w:ascii="MyriadPro-Regular" w:hAnsi="MyriadPro-Regular"/>
                <w:color w:val="000000"/>
                <w:sz w:val="20"/>
                <w:szCs w:val="20"/>
              </w:rPr>
              <w:t>Gini</w:t>
            </w:r>
            <w:proofErr w:type="spellEnd"/>
            <w:r w:rsidRPr="002F3D70">
              <w:rPr>
                <w:rFonts w:ascii="MyriadPro-Regular" w:hAnsi="MyriadPro-Regular"/>
                <w:color w:val="000000"/>
                <w:sz w:val="20"/>
                <w:szCs w:val="20"/>
              </w:rPr>
              <w:t>)</w:t>
            </w:r>
          </w:p>
        </w:tc>
        <w:tc>
          <w:tcPr>
            <w:tcW w:w="992" w:type="dxa"/>
            <w:tcBorders>
              <w:top w:val="nil"/>
              <w:left w:val="nil"/>
              <w:bottom w:val="single" w:sz="8" w:space="0" w:color="auto"/>
              <w:right w:val="single" w:sz="8" w:space="0" w:color="auto"/>
            </w:tcBorders>
            <w:shd w:val="clear" w:color="000000" w:fill="C9C9C9"/>
            <w:noWrap/>
            <w:vAlign w:val="center"/>
            <w:hideMark/>
          </w:tcPr>
          <w:p w14:paraId="19CE0ACD"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INEGI</w:t>
            </w:r>
          </w:p>
        </w:tc>
        <w:tc>
          <w:tcPr>
            <w:tcW w:w="426" w:type="dxa"/>
            <w:tcBorders>
              <w:top w:val="nil"/>
              <w:left w:val="nil"/>
              <w:bottom w:val="single" w:sz="8" w:space="0" w:color="auto"/>
              <w:right w:val="single" w:sz="8" w:space="0" w:color="auto"/>
            </w:tcBorders>
            <w:shd w:val="clear" w:color="000000" w:fill="C9C9C9"/>
            <w:noWrap/>
            <w:vAlign w:val="center"/>
            <w:hideMark/>
          </w:tcPr>
          <w:p w14:paraId="10812687"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24</w:t>
            </w:r>
          </w:p>
        </w:tc>
        <w:tc>
          <w:tcPr>
            <w:tcW w:w="708" w:type="dxa"/>
            <w:tcBorders>
              <w:top w:val="nil"/>
              <w:left w:val="nil"/>
              <w:bottom w:val="single" w:sz="8" w:space="0" w:color="auto"/>
              <w:right w:val="single" w:sz="8" w:space="0" w:color="auto"/>
            </w:tcBorders>
            <w:shd w:val="clear" w:color="000000" w:fill="C9C9C9"/>
            <w:noWrap/>
            <w:vAlign w:val="center"/>
            <w:hideMark/>
          </w:tcPr>
          <w:p w14:paraId="45AFCA88"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0.45</w:t>
            </w:r>
          </w:p>
        </w:tc>
        <w:tc>
          <w:tcPr>
            <w:tcW w:w="1134" w:type="dxa"/>
            <w:tcBorders>
              <w:top w:val="nil"/>
              <w:left w:val="nil"/>
              <w:bottom w:val="single" w:sz="8" w:space="0" w:color="auto"/>
              <w:right w:val="single" w:sz="8" w:space="0" w:color="auto"/>
            </w:tcBorders>
            <w:shd w:val="clear" w:color="000000" w:fill="C9C9C9"/>
            <w:vAlign w:val="center"/>
            <w:hideMark/>
          </w:tcPr>
          <w:p w14:paraId="03F993CF"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Índice</w:t>
            </w:r>
          </w:p>
        </w:tc>
        <w:tc>
          <w:tcPr>
            <w:tcW w:w="709" w:type="dxa"/>
            <w:tcBorders>
              <w:top w:val="nil"/>
              <w:left w:val="nil"/>
              <w:bottom w:val="single" w:sz="8" w:space="0" w:color="auto"/>
              <w:right w:val="single" w:sz="8" w:space="0" w:color="auto"/>
            </w:tcBorders>
            <w:shd w:val="clear" w:color="000000" w:fill="C9C9C9"/>
            <w:noWrap/>
            <w:vAlign w:val="center"/>
            <w:hideMark/>
          </w:tcPr>
          <w:p w14:paraId="18A81BDB"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0.47</w:t>
            </w:r>
          </w:p>
        </w:tc>
        <w:tc>
          <w:tcPr>
            <w:tcW w:w="567" w:type="dxa"/>
            <w:tcBorders>
              <w:top w:val="nil"/>
              <w:left w:val="nil"/>
              <w:bottom w:val="single" w:sz="8" w:space="0" w:color="auto"/>
              <w:right w:val="single" w:sz="8" w:space="0" w:color="auto"/>
            </w:tcBorders>
            <w:shd w:val="clear" w:color="000000" w:fill="C9C9C9"/>
            <w:noWrap/>
            <w:vAlign w:val="center"/>
            <w:hideMark/>
          </w:tcPr>
          <w:p w14:paraId="0441681E"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709" w:type="dxa"/>
            <w:tcBorders>
              <w:top w:val="nil"/>
              <w:left w:val="nil"/>
              <w:bottom w:val="single" w:sz="8" w:space="0" w:color="auto"/>
              <w:right w:val="single" w:sz="8" w:space="0" w:color="auto"/>
            </w:tcBorders>
            <w:shd w:val="clear" w:color="000000" w:fill="C9C9C9"/>
            <w:noWrap/>
            <w:vAlign w:val="center"/>
            <w:hideMark/>
          </w:tcPr>
          <w:p w14:paraId="5C440C48"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0.44</w:t>
            </w:r>
          </w:p>
        </w:tc>
        <w:tc>
          <w:tcPr>
            <w:tcW w:w="567" w:type="dxa"/>
            <w:tcBorders>
              <w:top w:val="nil"/>
              <w:left w:val="nil"/>
              <w:bottom w:val="single" w:sz="8" w:space="0" w:color="auto"/>
              <w:right w:val="single" w:sz="8" w:space="0" w:color="auto"/>
            </w:tcBorders>
            <w:shd w:val="clear" w:color="000000" w:fill="C9C9C9"/>
            <w:noWrap/>
            <w:vAlign w:val="center"/>
            <w:hideMark/>
          </w:tcPr>
          <w:p w14:paraId="399807A4"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w:t>
            </w:r>
          </w:p>
        </w:tc>
        <w:tc>
          <w:tcPr>
            <w:tcW w:w="850" w:type="dxa"/>
            <w:tcBorders>
              <w:top w:val="nil"/>
              <w:left w:val="nil"/>
              <w:bottom w:val="single" w:sz="8" w:space="0" w:color="auto"/>
              <w:right w:val="single" w:sz="8" w:space="0" w:color="auto"/>
            </w:tcBorders>
            <w:shd w:val="clear" w:color="000000" w:fill="C9C9C9"/>
            <w:noWrap/>
            <w:vAlign w:val="center"/>
            <w:hideMark/>
          </w:tcPr>
          <w:p w14:paraId="1869DE1F" w14:textId="77777777" w:rsidR="002F3D70" w:rsidRPr="002F3D70" w:rsidRDefault="002F3D70" w:rsidP="00326604">
            <w:pPr>
              <w:jc w:val="center"/>
              <w:rPr>
                <w:rFonts w:ascii="MyriadPro-Regular" w:hAnsi="MyriadPro-Regular"/>
                <w:color w:val="000000"/>
                <w:sz w:val="20"/>
                <w:szCs w:val="20"/>
              </w:rPr>
            </w:pPr>
            <w:r w:rsidRPr="002F3D70">
              <w:rPr>
                <w:rFonts w:ascii="MyriadPro-Regular" w:hAnsi="MyriadPro-Regular"/>
                <w:color w:val="000000"/>
                <w:sz w:val="20"/>
                <w:szCs w:val="20"/>
              </w:rPr>
              <w:t>0.43</w:t>
            </w:r>
          </w:p>
        </w:tc>
      </w:tr>
    </w:tbl>
    <w:p w14:paraId="79B96842" w14:textId="77777777" w:rsidR="002F3D70" w:rsidRPr="002F3D70" w:rsidRDefault="002F3D70" w:rsidP="002F3D70">
      <w:pPr>
        <w:rPr>
          <w:rFonts w:ascii="GalanoGrotesque-Black" w:hAnsi="GalanoGrotesque-Black"/>
        </w:rPr>
        <w:sectPr w:rsidR="002F3D70" w:rsidRPr="002F3D70" w:rsidSect="002F3D70">
          <w:footnotePr>
            <w:numStart w:val="4"/>
          </w:footnotePr>
          <w:type w:val="continuous"/>
          <w:pgSz w:w="12240" w:h="15840"/>
          <w:pgMar w:top="1418" w:right="1134" w:bottom="1418" w:left="1134" w:header="709" w:footer="709" w:gutter="0"/>
          <w:cols w:space="567"/>
          <w:docGrid w:linePitch="360"/>
        </w:sectPr>
      </w:pPr>
    </w:p>
    <w:p w14:paraId="58E1B685" w14:textId="77777777" w:rsidR="00E47EF3" w:rsidRPr="002F3D70" w:rsidRDefault="00E47EF3" w:rsidP="0064210D">
      <w:pPr>
        <w:spacing w:after="0"/>
        <w:rPr>
          <w:rFonts w:ascii="GalanoGrotesque-Medium" w:hAnsi="GalanoGrotesque-Medium" w:cs="Arial"/>
        </w:rPr>
        <w:sectPr w:rsidR="00E47EF3" w:rsidRPr="002F3D70" w:rsidSect="002F3D70">
          <w:footnotePr>
            <w:numStart w:val="4"/>
          </w:footnotePr>
          <w:pgSz w:w="12240" w:h="15840"/>
          <w:pgMar w:top="1418" w:right="1134" w:bottom="1418" w:left="1134" w:header="709" w:footer="709" w:gutter="0"/>
          <w:cols w:space="567"/>
          <w:docGrid w:linePitch="360"/>
        </w:sectPr>
      </w:pPr>
    </w:p>
    <w:p w14:paraId="6623E09C" w14:textId="32949137" w:rsidR="00E47EF3" w:rsidRPr="00C00F95" w:rsidRDefault="00E47EF3" w:rsidP="00C00CBE">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lastRenderedPageBreak/>
        <w:t>El porcentaje de personas en Michoacán con un ingreso inferior a la línea de bienestar</w:t>
      </w:r>
      <w:r w:rsidR="005B55C4">
        <w:rPr>
          <w:rStyle w:val="Refdenotaalpie"/>
          <w:rFonts w:ascii="MyriadPro-Regular" w:hAnsi="MyriadPro-Regular" w:cs="MyriadPro-Regular"/>
          <w:color w:val="414142"/>
          <w:sz w:val="20"/>
          <w:szCs w:val="20"/>
        </w:rPr>
        <w:footnoteReference w:customMarkFollows="1" w:id="8"/>
        <w:t>7</w:t>
      </w:r>
      <w:r w:rsidR="002F3D70" w:rsidRPr="00C00F95">
        <w:rPr>
          <w:rFonts w:ascii="MyriadPro-Regular" w:hAnsi="MyriadPro-Regular" w:cs="MyriadPro-Regular"/>
          <w:color w:val="414142"/>
          <w:sz w:val="20"/>
          <w:szCs w:val="20"/>
        </w:rPr>
        <w:t xml:space="preserve"> </w:t>
      </w:r>
      <w:r w:rsidRPr="00C00F95">
        <w:rPr>
          <w:rFonts w:ascii="MyriadPro-Regular" w:hAnsi="MyriadPro-Regular" w:cs="MyriadPro-Regular"/>
          <w:color w:val="414142"/>
          <w:sz w:val="20"/>
          <w:szCs w:val="20"/>
        </w:rPr>
        <w:t xml:space="preserve">en 2014 ascendió 63.3%, 4.3 puntos porcentuales más respecto al valor observado en 2010, lo que representó un aumento de 278 mil personas. Más aún, la población más vulnerable en términos de ingreso, es decir, aquella cuyo ingreso no basta para adquirir una canasta básica de alimentos que permita cubrir sus requerimientos nutricionales, lo que se conoce como bienestar mínimo, también registro un aumento considerable en los últimos años, al pasar de 957 mil en 2010 a poco más de 1.1 millones de personas en 2014, lo que representa el 24.4% de la población. Esta tendencia de crecimiento de la población en situación de pobreza hace patente la necesidad de implementar un nuevo enfoque de política pública, que permita articular, de manera coordinada con </w:t>
      </w:r>
      <w:r w:rsidR="008E7591" w:rsidRPr="00C00F95">
        <w:rPr>
          <w:rFonts w:ascii="MyriadPro-Regular" w:hAnsi="MyriadPro-Regular" w:cs="MyriadPro-Regular"/>
          <w:color w:val="414142"/>
          <w:sz w:val="20"/>
          <w:szCs w:val="20"/>
        </w:rPr>
        <w:t>los sectores sociales</w:t>
      </w:r>
      <w:r w:rsidRPr="00C00F95">
        <w:rPr>
          <w:rFonts w:ascii="MyriadPro-Regular" w:hAnsi="MyriadPro-Regular" w:cs="MyriadPro-Regular"/>
          <w:color w:val="414142"/>
          <w:sz w:val="20"/>
          <w:szCs w:val="20"/>
        </w:rPr>
        <w:t xml:space="preserve"> y privado,  estrategias y acciones efectivas que eleven el nivel de inclusión de los sectores más vulnerables de la población.</w:t>
      </w:r>
    </w:p>
    <w:p w14:paraId="096CA7C7" w14:textId="77777777" w:rsidR="00E47EF3" w:rsidRPr="00C00F95" w:rsidRDefault="00E47EF3" w:rsidP="00C00CBE">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A nivel municipal, se observa una gran heterogeneidad en los niveles de inclusión social, para todas sus</w:t>
      </w:r>
      <w:r w:rsidRPr="00E47EF3">
        <w:rPr>
          <w:rFonts w:ascii="GalanoGrotesque-Medium" w:eastAsia="Times New Roman" w:hAnsi="GalanoGrotesque-Medium" w:cs="Arial"/>
          <w:sz w:val="24"/>
          <w:szCs w:val="24"/>
          <w:lang w:val="es-ES" w:eastAsia="es-ES"/>
        </w:rPr>
        <w:t xml:space="preserve"> </w:t>
      </w:r>
      <w:r w:rsidRPr="00C00F95">
        <w:rPr>
          <w:rFonts w:ascii="MyriadPro-Regular" w:hAnsi="MyriadPro-Regular" w:cs="MyriadPro-Regular"/>
          <w:color w:val="414142"/>
          <w:sz w:val="20"/>
          <w:szCs w:val="20"/>
        </w:rPr>
        <w:t xml:space="preserve">dimensiones. Por ejemplo, con relación a la población en situación de pobreza, para 2010, mientras que ni uno sólo de los municipios del Estado se ubicó por debajo de la línea del 25% de la población en situación de pobreza, en 23 municipios la población en condición de pobreza representaba al menos el 75% del total. </w:t>
      </w:r>
    </w:p>
    <w:p w14:paraId="286D2E5F" w14:textId="0FC644ED" w:rsidR="00E47EF3" w:rsidRPr="00C00CBE" w:rsidRDefault="00E47EF3" w:rsidP="00C00CBE">
      <w:pPr>
        <w:widowControl w:val="0"/>
        <w:autoSpaceDE w:val="0"/>
        <w:autoSpaceDN w:val="0"/>
        <w:adjustRightInd w:val="0"/>
        <w:spacing w:after="0" w:line="180" w:lineRule="exact"/>
        <w:jc w:val="center"/>
        <w:rPr>
          <w:rFonts w:ascii="GalanoGrotesque-Medium" w:hAnsi="GalanoGrotesque-Medium" w:cs="MyriadPro-Regular"/>
          <w:b/>
          <w:color w:val="414142"/>
          <w:sz w:val="14"/>
          <w:szCs w:val="20"/>
        </w:rPr>
      </w:pPr>
      <w:r w:rsidRPr="00C00CBE">
        <w:rPr>
          <w:rFonts w:ascii="GalanoGrotesque-Medium" w:hAnsi="GalanoGrotesque-Medium" w:cs="MyriadPro-Regular"/>
          <w:b/>
          <w:color w:val="414142"/>
          <w:sz w:val="14"/>
          <w:szCs w:val="20"/>
        </w:rPr>
        <w:t>Gráfica  5.1</w:t>
      </w:r>
    </w:p>
    <w:p w14:paraId="7F98CB60" w14:textId="77777777" w:rsidR="00E47EF3" w:rsidRPr="00C00CBE" w:rsidRDefault="00E47EF3" w:rsidP="00C00CBE">
      <w:pPr>
        <w:spacing w:after="0" w:line="180" w:lineRule="exact"/>
        <w:jc w:val="center"/>
        <w:rPr>
          <w:rFonts w:ascii="GalanoGrotesque-Medium" w:hAnsi="GalanoGrotesque-Medium" w:cs="MyriadPro-Regular"/>
          <w:color w:val="414142"/>
          <w:sz w:val="14"/>
          <w:szCs w:val="20"/>
        </w:rPr>
      </w:pPr>
      <w:r w:rsidRPr="00C00CBE">
        <w:rPr>
          <w:rFonts w:ascii="GalanoGrotesque-Medium" w:hAnsi="GalanoGrotesque-Medium" w:cs="MyriadPro-Regular"/>
          <w:color w:val="414142"/>
          <w:sz w:val="14"/>
          <w:szCs w:val="20"/>
        </w:rPr>
        <w:t>Porcentaje de Población en Situación de Pobreza</w:t>
      </w:r>
    </w:p>
    <w:p w14:paraId="23BF0C0D" w14:textId="77777777" w:rsidR="00E47EF3" w:rsidRPr="00C00F95" w:rsidRDefault="002F3D70" w:rsidP="00E47EF3">
      <w:pPr>
        <w:spacing w:after="0"/>
        <w:jc w:val="center"/>
        <w:rPr>
          <w:rFonts w:ascii="MyriadPro-Regular" w:hAnsi="MyriadPro-Regular" w:cs="MyriadPro-Regular"/>
          <w:color w:val="414142"/>
          <w:sz w:val="20"/>
          <w:szCs w:val="20"/>
        </w:rPr>
      </w:pPr>
      <w:r w:rsidRPr="00C00F95">
        <w:rPr>
          <w:rFonts w:ascii="MyriadPro-Regular" w:hAnsi="MyriadPro-Regular" w:cs="MyriadPro-Regular"/>
          <w:noProof/>
          <w:color w:val="414142"/>
          <w:sz w:val="20"/>
          <w:szCs w:val="20"/>
          <w:lang w:val="es-ES" w:eastAsia="es-ES"/>
        </w:rPr>
        <mc:AlternateContent>
          <mc:Choice Requires="wps">
            <w:drawing>
              <wp:anchor distT="0" distB="0" distL="114300" distR="114300" simplePos="0" relativeHeight="251735552" behindDoc="0" locked="0" layoutInCell="1" allowOverlap="1" wp14:anchorId="7E7A5579" wp14:editId="362DF766">
                <wp:simplePos x="0" y="0"/>
                <wp:positionH relativeFrom="column">
                  <wp:posOffset>2712612</wp:posOffset>
                </wp:positionH>
                <wp:positionV relativeFrom="paragraph">
                  <wp:posOffset>468163</wp:posOffset>
                </wp:positionV>
                <wp:extent cx="508000" cy="380365"/>
                <wp:effectExtent l="0" t="0" r="25400" b="19685"/>
                <wp:wrapNone/>
                <wp:docPr id="43012" name="5 CuadroTexto"/>
                <wp:cNvGraphicFramePr/>
                <a:graphic xmlns:a="http://schemas.openxmlformats.org/drawingml/2006/main">
                  <a:graphicData uri="http://schemas.microsoft.com/office/word/2010/wordprocessingShape">
                    <wps:wsp>
                      <wps:cNvSpPr txBox="1"/>
                      <wps:spPr>
                        <a:xfrm>
                          <a:off x="0" y="0"/>
                          <a:ext cx="508000" cy="380365"/>
                        </a:xfrm>
                        <a:prstGeom prst="rect">
                          <a:avLst/>
                        </a:prstGeom>
                        <a:solidFill>
                          <a:sysClr val="window" lastClr="FFFFFF"/>
                        </a:solidFill>
                        <a:ln w="9525" cmpd="sng">
                          <a:solidFill>
                            <a:sysClr val="window" lastClr="FFFFFF">
                              <a:shade val="50000"/>
                            </a:sysClr>
                          </a:solidFill>
                        </a:ln>
                        <a:effectLst/>
                      </wps:spPr>
                      <wps:txbx>
                        <w:txbxContent>
                          <w:p w14:paraId="11095587" w14:textId="77777777" w:rsidR="00082EBA" w:rsidRDefault="00082EBA" w:rsidP="00E47EF3">
                            <w:pPr>
                              <w:pStyle w:val="NormalWeb"/>
                              <w:spacing w:before="0" w:beforeAutospacing="0" w:after="0" w:afterAutospacing="0"/>
                              <w:jc w:val="center"/>
                            </w:pPr>
                            <w:r>
                              <w:rPr>
                                <w:rFonts w:asciiTheme="minorHAnsi" w:hAnsi="Calibri" w:cstheme="minorBidi"/>
                                <w:color w:val="000000" w:themeColor="dark1"/>
                                <w:sz w:val="12"/>
                                <w:szCs w:val="12"/>
                              </w:rPr>
                              <w:t xml:space="preserve">Media nacional: 44.7 </w:t>
                            </w:r>
                          </w:p>
                        </w:txbxContent>
                      </wps:txbx>
                      <wps:bodyPr vertOverflow="clip" horzOverflow="clip" wrap="square" rtlCol="0" anchor="t"/>
                    </wps:wsp>
                  </a:graphicData>
                </a:graphic>
              </wp:anchor>
            </w:drawing>
          </mc:Choice>
          <mc:Fallback>
            <w:pict>
              <v:shape w14:anchorId="7E7A5579" id="5 CuadroTexto" o:spid="_x0000_s1044" type="#_x0000_t202" style="position:absolute;left:0;text-align:left;margin-left:213.6pt;margin-top:36.85pt;width:40pt;height:29.9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" fillcolor="window" strokecolor="#bcbcbc">
                <v:textbox>
                  <w:txbxContent>
                    <w:p w14:paraId="11095587" w14:textId="77777777" w:rsidR="00082EBA" w:rsidRDefault="00082EBA" w:rsidP="00E47EF3">
                      <w:pPr>
                        <w:pStyle w:val="NormalWeb"/>
                        <w:spacing w:before="0" w:beforeAutospacing="0" w:after="0" w:afterAutospacing="0"/>
                        <w:jc w:val="center"/>
                      </w:pPr>
                      <w:r>
                        <w:rPr>
                          <w:rFonts w:asciiTheme="minorHAnsi" w:hAnsi="Calibri" w:cstheme="minorBidi"/>
                          <w:color w:val="000000" w:themeColor="dark1"/>
                          <w:sz w:val="12"/>
                          <w:szCs w:val="12"/>
                        </w:rPr>
                        <w:t xml:space="preserve">Media nacional: 44.7 </w:t>
                      </w:r>
                    </w:p>
                  </w:txbxContent>
                </v:textbox>
              </v:shape>
            </w:pict>
          </mc:Fallback>
        </mc:AlternateContent>
      </w:r>
      <w:r w:rsidR="00E47EF3" w:rsidRPr="00C00F95">
        <w:rPr>
          <w:rFonts w:ascii="MyriadPro-Regular" w:hAnsi="MyriadPro-Regular" w:cs="MyriadPro-Regular"/>
          <w:noProof/>
          <w:color w:val="414142"/>
          <w:sz w:val="20"/>
          <w:szCs w:val="20"/>
          <w:lang w:val="es-ES" w:eastAsia="es-ES"/>
        </w:rPr>
        <mc:AlternateContent>
          <mc:Choice Requires="wps">
            <w:drawing>
              <wp:anchor distT="0" distB="0" distL="114300" distR="114300" simplePos="0" relativeHeight="251734528" behindDoc="0" locked="0" layoutInCell="1" allowOverlap="1" wp14:anchorId="1C78C206" wp14:editId="5FB81BF9">
                <wp:simplePos x="0" y="0"/>
                <wp:positionH relativeFrom="column">
                  <wp:posOffset>1925955</wp:posOffset>
                </wp:positionH>
                <wp:positionV relativeFrom="paragraph">
                  <wp:posOffset>523875</wp:posOffset>
                </wp:positionV>
                <wp:extent cx="508000" cy="380365"/>
                <wp:effectExtent l="0" t="0" r="25400" b="19685"/>
                <wp:wrapNone/>
                <wp:docPr id="63" name="2 CuadroTexto"/>
                <wp:cNvGraphicFramePr/>
                <a:graphic xmlns:a="http://schemas.openxmlformats.org/drawingml/2006/main">
                  <a:graphicData uri="http://schemas.microsoft.com/office/word/2010/wordprocessingShape">
                    <wps:wsp>
                      <wps:cNvSpPr txBox="1"/>
                      <wps:spPr>
                        <a:xfrm>
                          <a:off x="0" y="0"/>
                          <a:ext cx="508000" cy="380365"/>
                        </a:xfrm>
                        <a:prstGeom prst="rect">
                          <a:avLst/>
                        </a:prstGeom>
                        <a:solidFill>
                          <a:sysClr val="window" lastClr="FFFFFF"/>
                        </a:solidFill>
                        <a:ln w="9525" cmpd="sng">
                          <a:solidFill>
                            <a:sysClr val="window" lastClr="FFFFFF">
                              <a:shade val="50000"/>
                            </a:sysClr>
                          </a:solidFill>
                        </a:ln>
                        <a:effectLst/>
                      </wps:spPr>
                      <wps:txbx>
                        <w:txbxContent>
                          <w:p w14:paraId="096308C6" w14:textId="77777777" w:rsidR="00082EBA" w:rsidRDefault="00082EBA" w:rsidP="00E47EF3">
                            <w:pPr>
                              <w:pStyle w:val="NormalWeb"/>
                              <w:spacing w:before="0" w:beforeAutospacing="0" w:after="0" w:afterAutospacing="0"/>
                              <w:jc w:val="center"/>
                            </w:pPr>
                            <w:r>
                              <w:rPr>
                                <w:rFonts w:asciiTheme="minorHAnsi" w:hAnsi="Calibri" w:cstheme="minorBidi"/>
                                <w:color w:val="000000" w:themeColor="dark1"/>
                                <w:sz w:val="12"/>
                                <w:szCs w:val="12"/>
                              </w:rPr>
                              <w:t xml:space="preserve">Media nacional: 51.5 </w:t>
                            </w:r>
                          </w:p>
                        </w:txbxContent>
                      </wps:txbx>
                      <wps:bodyPr vertOverflow="clip" horzOverflow="clip" wrap="square" rtlCol="0" anchor="t"/>
                    </wps:wsp>
                  </a:graphicData>
                </a:graphic>
              </wp:anchor>
            </w:drawing>
          </mc:Choice>
          <mc:Fallback>
            <w:pict>
              <v:shape w14:anchorId="1C78C206" id="2 CuadroTexto" o:spid="_x0000_s1045" type="#_x0000_t202" style="position:absolute;left:0;text-align:left;margin-left:151.65pt;margin-top:41.25pt;width:40pt;height:29.9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" fillcolor="window" strokecolor="#bcbcbc">
                <v:textbox>
                  <w:txbxContent>
                    <w:p w14:paraId="096308C6" w14:textId="77777777" w:rsidR="00082EBA" w:rsidRDefault="00082EBA" w:rsidP="00E47EF3">
                      <w:pPr>
                        <w:pStyle w:val="NormalWeb"/>
                        <w:spacing w:before="0" w:beforeAutospacing="0" w:after="0" w:afterAutospacing="0"/>
                        <w:jc w:val="center"/>
                      </w:pPr>
                      <w:r>
                        <w:rPr>
                          <w:rFonts w:asciiTheme="minorHAnsi" w:hAnsi="Calibri" w:cstheme="minorBidi"/>
                          <w:color w:val="000000" w:themeColor="dark1"/>
                          <w:sz w:val="12"/>
                          <w:szCs w:val="12"/>
                        </w:rPr>
                        <w:t xml:space="preserve">Media nacional: 51.5 </w:t>
                      </w:r>
                    </w:p>
                  </w:txbxContent>
                </v:textbox>
              </v:shape>
            </w:pict>
          </mc:Fallback>
        </mc:AlternateContent>
      </w:r>
      <w:r w:rsidR="00E47EF3" w:rsidRPr="00C00F95">
        <w:rPr>
          <w:rFonts w:ascii="MyriadPro-Regular" w:hAnsi="MyriadPro-Regular" w:cs="MyriadPro-Regular"/>
          <w:noProof/>
          <w:color w:val="414142"/>
          <w:sz w:val="20"/>
          <w:szCs w:val="20"/>
          <w:lang w:val="es-ES" w:eastAsia="es-ES"/>
        </w:rPr>
        <w:drawing>
          <wp:inline distT="0" distB="0" distL="0" distR="0" wp14:anchorId="3515F759" wp14:editId="26BEEDA5">
            <wp:extent cx="3121108" cy="1452383"/>
            <wp:effectExtent l="0" t="0" r="3175" b="146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33E1108" w14:textId="77777777" w:rsidR="00E47EF3" w:rsidRPr="00C00F95" w:rsidRDefault="00E47EF3" w:rsidP="00C00CBE">
      <w:pPr>
        <w:spacing w:after="160"/>
        <w:rPr>
          <w:rFonts w:ascii="MyriadPro-Regular" w:hAnsi="MyriadPro-Regular" w:cs="MyriadPro-Regular"/>
          <w:color w:val="414142"/>
          <w:sz w:val="20"/>
          <w:szCs w:val="20"/>
        </w:rPr>
      </w:pPr>
      <w:r w:rsidRPr="00C00CBE">
        <w:rPr>
          <w:rFonts w:ascii="MyriadPro-Regular" w:hAnsi="MyriadPro-Regular" w:cs="MyriadPro-Regular"/>
          <w:color w:val="414142"/>
          <w:sz w:val="14"/>
          <w:szCs w:val="20"/>
        </w:rPr>
        <w:t>Fuente: CONEVAL</w:t>
      </w:r>
      <w:r w:rsidRPr="00C00F95">
        <w:rPr>
          <w:rFonts w:ascii="MyriadPro-Regular" w:hAnsi="MyriadPro-Regular" w:cs="MyriadPro-Regular"/>
          <w:color w:val="414142"/>
          <w:sz w:val="20"/>
          <w:szCs w:val="20"/>
        </w:rPr>
        <w:t>.</w:t>
      </w:r>
    </w:p>
    <w:p w14:paraId="2F205698" w14:textId="77777777" w:rsidR="00E47EF3" w:rsidRPr="00C00F95" w:rsidRDefault="00E47EF3" w:rsidP="00C00CBE">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Los municipios que más destacan por la alta prevalencia de la pobreza entre su población son: </w:t>
      </w:r>
      <w:proofErr w:type="spellStart"/>
      <w:r w:rsidRPr="00C00F95">
        <w:rPr>
          <w:rFonts w:ascii="MyriadPro-Regular" w:hAnsi="MyriadPro-Regular" w:cs="MyriadPro-Regular"/>
          <w:color w:val="414142"/>
          <w:sz w:val="20"/>
          <w:szCs w:val="20"/>
        </w:rPr>
        <w:t>Susupuato</w:t>
      </w:r>
      <w:proofErr w:type="spellEnd"/>
      <w:r w:rsidRPr="00C00F95">
        <w:rPr>
          <w:rFonts w:ascii="MyriadPro-Regular" w:hAnsi="MyriadPro-Regular" w:cs="MyriadPro-Regular"/>
          <w:color w:val="414142"/>
          <w:sz w:val="20"/>
          <w:szCs w:val="20"/>
        </w:rPr>
        <w:t xml:space="preserve"> con 86.6% de su población en condición </w:t>
      </w:r>
      <w:r w:rsidRPr="00C00F95">
        <w:rPr>
          <w:rFonts w:ascii="MyriadPro-Regular" w:hAnsi="MyriadPro-Regular" w:cs="MyriadPro-Regular"/>
          <w:color w:val="414142"/>
          <w:sz w:val="20"/>
          <w:szCs w:val="20"/>
        </w:rPr>
        <w:lastRenderedPageBreak/>
        <w:t xml:space="preserve">de pobreza; </w:t>
      </w:r>
      <w:proofErr w:type="spellStart"/>
      <w:r w:rsidRPr="00C00F95">
        <w:rPr>
          <w:rFonts w:ascii="MyriadPro-Regular" w:hAnsi="MyriadPro-Regular" w:cs="MyriadPro-Regular"/>
          <w:color w:val="414142"/>
          <w:sz w:val="20"/>
          <w:szCs w:val="20"/>
        </w:rPr>
        <w:t>Nocupétaro</w:t>
      </w:r>
      <w:proofErr w:type="spellEnd"/>
      <w:r w:rsidRPr="00C00F95">
        <w:rPr>
          <w:rFonts w:ascii="MyriadPro-Regular" w:hAnsi="MyriadPro-Regular" w:cs="MyriadPro-Regular"/>
          <w:color w:val="414142"/>
          <w:sz w:val="20"/>
          <w:szCs w:val="20"/>
        </w:rPr>
        <w:t xml:space="preserve"> con el 86.1%; </w:t>
      </w:r>
      <w:proofErr w:type="spellStart"/>
      <w:r w:rsidRPr="00C00F95">
        <w:rPr>
          <w:rFonts w:ascii="MyriadPro-Regular" w:hAnsi="MyriadPro-Regular" w:cs="MyriadPro-Regular"/>
          <w:color w:val="414142"/>
          <w:sz w:val="20"/>
          <w:szCs w:val="20"/>
        </w:rPr>
        <w:t>Tzitzio</w:t>
      </w:r>
      <w:proofErr w:type="spellEnd"/>
      <w:r w:rsidRPr="00C00F95">
        <w:rPr>
          <w:rFonts w:ascii="MyriadPro-Regular" w:hAnsi="MyriadPro-Regular" w:cs="MyriadPro-Regular"/>
          <w:color w:val="414142"/>
          <w:sz w:val="20"/>
          <w:szCs w:val="20"/>
        </w:rPr>
        <w:t xml:space="preserve"> con el 85.7%; </w:t>
      </w:r>
      <w:proofErr w:type="spellStart"/>
      <w:r w:rsidRPr="00C00F95">
        <w:rPr>
          <w:rFonts w:ascii="MyriadPro-Regular" w:hAnsi="MyriadPro-Regular" w:cs="MyriadPro-Regular"/>
          <w:color w:val="414142"/>
          <w:sz w:val="20"/>
          <w:szCs w:val="20"/>
        </w:rPr>
        <w:t>Tumbiscatío</w:t>
      </w:r>
      <w:proofErr w:type="spellEnd"/>
      <w:r w:rsidRPr="00C00F95">
        <w:rPr>
          <w:rFonts w:ascii="MyriadPro-Regular" w:hAnsi="MyriadPro-Regular" w:cs="MyriadPro-Regular"/>
          <w:color w:val="414142"/>
          <w:sz w:val="20"/>
          <w:szCs w:val="20"/>
        </w:rPr>
        <w:t xml:space="preserve"> con el 84.2%, y</w:t>
      </w:r>
      <w:r w:rsidRPr="00E47EF3">
        <w:rPr>
          <w:rFonts w:ascii="GalanoGrotesque-Medium" w:eastAsia="Times New Roman" w:hAnsi="GalanoGrotesque-Medium" w:cs="Arial"/>
          <w:sz w:val="24"/>
          <w:szCs w:val="24"/>
          <w:lang w:val="es-ES" w:eastAsia="es-ES"/>
        </w:rPr>
        <w:t xml:space="preserve"> </w:t>
      </w:r>
      <w:proofErr w:type="spellStart"/>
      <w:r w:rsidRPr="00C00F95">
        <w:rPr>
          <w:rFonts w:ascii="MyriadPro-Regular" w:hAnsi="MyriadPro-Regular" w:cs="MyriadPro-Regular"/>
          <w:color w:val="414142"/>
          <w:sz w:val="20"/>
          <w:szCs w:val="20"/>
        </w:rPr>
        <w:t>Parácuaro</w:t>
      </w:r>
      <w:proofErr w:type="spellEnd"/>
      <w:r w:rsidRPr="00C00F95">
        <w:rPr>
          <w:rFonts w:ascii="MyriadPro-Regular" w:hAnsi="MyriadPro-Regular" w:cs="MyriadPro-Regular"/>
          <w:color w:val="414142"/>
          <w:sz w:val="20"/>
          <w:szCs w:val="20"/>
        </w:rPr>
        <w:t xml:space="preserve"> con el 83.4%. A su vez, los municipios con un menor porcentaje de su población en situación de pobreza son: </w:t>
      </w:r>
      <w:proofErr w:type="spellStart"/>
      <w:r w:rsidRPr="00C00F95">
        <w:rPr>
          <w:rFonts w:ascii="MyriadPro-Regular" w:hAnsi="MyriadPro-Regular" w:cs="MyriadPro-Regular"/>
          <w:color w:val="414142"/>
          <w:sz w:val="20"/>
          <w:szCs w:val="20"/>
        </w:rPr>
        <w:t>Tarímbaro</w:t>
      </w:r>
      <w:proofErr w:type="spellEnd"/>
      <w:r w:rsidRPr="00E47EF3">
        <w:rPr>
          <w:rFonts w:ascii="GalanoGrotesque-Medium" w:eastAsia="Times New Roman" w:hAnsi="GalanoGrotesque-Medium" w:cs="Arial"/>
          <w:sz w:val="24"/>
          <w:szCs w:val="24"/>
          <w:lang w:val="es-ES" w:eastAsia="es-ES"/>
        </w:rPr>
        <w:t xml:space="preserve"> </w:t>
      </w:r>
      <w:r w:rsidRPr="00C00F95">
        <w:rPr>
          <w:rFonts w:ascii="MyriadPro-Regular" w:hAnsi="MyriadPro-Regular" w:cs="MyriadPro-Regular"/>
          <w:color w:val="414142"/>
          <w:sz w:val="20"/>
          <w:szCs w:val="20"/>
        </w:rPr>
        <w:t>con 27.7%; Morelia con 38.0%; Lázaro Cárdenas con</w:t>
      </w:r>
      <w:r w:rsidRPr="00E47EF3">
        <w:rPr>
          <w:rFonts w:ascii="GalanoGrotesque-Medium" w:eastAsia="Times New Roman" w:hAnsi="GalanoGrotesque-Medium" w:cs="Arial"/>
          <w:sz w:val="24"/>
          <w:szCs w:val="24"/>
          <w:lang w:val="es-ES" w:eastAsia="es-ES"/>
        </w:rPr>
        <w:t xml:space="preserve"> </w:t>
      </w:r>
      <w:r w:rsidRPr="00C00F95">
        <w:rPr>
          <w:rFonts w:ascii="MyriadPro-Regular" w:hAnsi="MyriadPro-Regular" w:cs="MyriadPro-Regular"/>
          <w:color w:val="414142"/>
          <w:sz w:val="20"/>
          <w:szCs w:val="20"/>
        </w:rPr>
        <w:t>39.9%;</w:t>
      </w:r>
      <w:r w:rsidRPr="00E47EF3">
        <w:rPr>
          <w:rFonts w:ascii="GalanoGrotesque-Medium" w:eastAsia="Times New Roman" w:hAnsi="GalanoGrotesque-Medium" w:cs="Arial"/>
          <w:sz w:val="24"/>
          <w:szCs w:val="24"/>
          <w:lang w:val="es-ES" w:eastAsia="es-ES"/>
        </w:rPr>
        <w:t xml:space="preserve"> </w:t>
      </w:r>
      <w:r w:rsidRPr="00C00F95">
        <w:rPr>
          <w:rFonts w:ascii="MyriadPro-Regular" w:hAnsi="MyriadPro-Regular" w:cs="MyriadPro-Regular"/>
          <w:color w:val="414142"/>
          <w:sz w:val="20"/>
          <w:szCs w:val="20"/>
        </w:rPr>
        <w:t xml:space="preserve">Zacapu con 42.0%, y </w:t>
      </w:r>
      <w:proofErr w:type="spellStart"/>
      <w:r w:rsidRPr="00C00F95">
        <w:rPr>
          <w:rFonts w:ascii="MyriadPro-Regular" w:hAnsi="MyriadPro-Regular" w:cs="MyriadPro-Regular"/>
          <w:color w:val="414142"/>
          <w:sz w:val="20"/>
          <w:szCs w:val="20"/>
        </w:rPr>
        <w:t>Zináparo</w:t>
      </w:r>
      <w:proofErr w:type="spellEnd"/>
      <w:r w:rsidRPr="00C00F95">
        <w:rPr>
          <w:rFonts w:ascii="MyriadPro-Regular" w:hAnsi="MyriadPro-Regular" w:cs="MyriadPro-Regular"/>
          <w:color w:val="414142"/>
          <w:sz w:val="20"/>
          <w:szCs w:val="20"/>
        </w:rPr>
        <w:t xml:space="preserve"> con el 45.4%.  </w:t>
      </w:r>
    </w:p>
    <w:p w14:paraId="06A6D446" w14:textId="77777777" w:rsidR="00E47EF3" w:rsidRPr="00C00F95" w:rsidRDefault="00E47EF3" w:rsidP="00C00CBE">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La inequidad del Estado registra un Índice de </w:t>
      </w:r>
      <w:proofErr w:type="spellStart"/>
      <w:r w:rsidRPr="00C00F95">
        <w:rPr>
          <w:rFonts w:ascii="MyriadPro-Regular" w:hAnsi="MyriadPro-Regular" w:cs="MyriadPro-Regular"/>
          <w:color w:val="414142"/>
          <w:sz w:val="20"/>
          <w:szCs w:val="20"/>
        </w:rPr>
        <w:t>Gini</w:t>
      </w:r>
      <w:proofErr w:type="spellEnd"/>
      <w:r w:rsidRPr="00C00F95">
        <w:rPr>
          <w:rFonts w:ascii="MyriadPro-Regular" w:hAnsi="MyriadPro-Regular" w:cs="MyriadPro-Regular"/>
          <w:color w:val="414142"/>
          <w:sz w:val="20"/>
          <w:szCs w:val="20"/>
        </w:rPr>
        <w:t xml:space="preserve"> equivalente a 0.433. Este</w:t>
      </w:r>
      <w:r w:rsidRPr="00E47EF3">
        <w:rPr>
          <w:rFonts w:ascii="GalanoGrotesque-Medium" w:eastAsia="Times New Roman" w:hAnsi="GalanoGrotesque-Medium" w:cs="Arial"/>
          <w:sz w:val="24"/>
          <w:szCs w:val="24"/>
          <w:lang w:val="es-ES" w:eastAsia="es-ES"/>
        </w:rPr>
        <w:t xml:space="preserve"> </w:t>
      </w:r>
      <w:r w:rsidRPr="00C00F95">
        <w:rPr>
          <w:rFonts w:ascii="MyriadPro-Regular" w:hAnsi="MyriadPro-Regular" w:cs="MyriadPro-Regular"/>
          <w:color w:val="414142"/>
          <w:sz w:val="20"/>
          <w:szCs w:val="20"/>
        </w:rPr>
        <w:t xml:space="preserve">indicador mide hasta qué punto la distribución del ingreso dentro de una economía se aleja o se acerca a una distribución equitativa. Un Índice de </w:t>
      </w:r>
      <w:proofErr w:type="spellStart"/>
      <w:r w:rsidRPr="00C00F95">
        <w:rPr>
          <w:rFonts w:ascii="MyriadPro-Regular" w:hAnsi="MyriadPro-Regular" w:cs="MyriadPro-Regular"/>
          <w:color w:val="414142"/>
          <w:sz w:val="20"/>
          <w:szCs w:val="20"/>
        </w:rPr>
        <w:t>Gini</w:t>
      </w:r>
      <w:proofErr w:type="spellEnd"/>
      <w:r w:rsidRPr="00C00F95">
        <w:rPr>
          <w:rFonts w:ascii="MyriadPro-Regular" w:hAnsi="MyriadPro-Regular" w:cs="MyriadPro-Regular"/>
          <w:color w:val="414142"/>
          <w:sz w:val="20"/>
          <w:szCs w:val="20"/>
        </w:rPr>
        <w:t xml:space="preserve"> igual a cero muestra la equidad perfecta, mientras que si totaliza uno, representa inequidad completa. Aun con los constantes esfuerzos de políticas públicas, e instituciones para revertir esta realidad, el desarrollo informal de las ciudades y un alto número de ciudadanos se encuentran fuera de sistema básico de bienestar (salud, educación, empleo digno) y de acceso a servicios mínimos (agua, drenaje, luz, espacio, publico, deportivo, cultural y recreación). De los 4.4 millones de personas que habitan en el Estado, el 59.25% (14.6 puntos porcentuales más que el promedio nacional) vive en situación de pobreza. Esto significa que alrededor de 2.6 millones personas no cuentan integralmente con los servicios y la alimentación necesaria para llevar una vida digna.  De ese total, el 14.4% (4.4 puntos porcentuales más del promedio nacional) vive en pobreza extrema; esto significa que alrededor de 634 mil personas no satisfacen sus necesidades elementales de alimentación.</w:t>
      </w:r>
    </w:p>
    <w:p w14:paraId="492A26BE" w14:textId="77777777" w:rsidR="00E47EF3" w:rsidRPr="00C00CBE" w:rsidRDefault="00E47EF3" w:rsidP="005B55C4">
      <w:pPr>
        <w:pStyle w:val="Prrafodelista"/>
        <w:numPr>
          <w:ilvl w:val="0"/>
          <w:numId w:val="23"/>
        </w:numPr>
        <w:spacing w:after="160"/>
        <w:ind w:left="425" w:hanging="425"/>
        <w:jc w:val="both"/>
        <w:rPr>
          <w:rFonts w:ascii="GalanoGrotesque-Medium" w:hAnsi="GalanoGrotesque-Medium" w:cs="Arial"/>
          <w:b/>
        </w:rPr>
      </w:pPr>
      <w:r w:rsidRPr="00C00CBE">
        <w:rPr>
          <w:rFonts w:ascii="GalanoGrotesque-Medium" w:hAnsi="GalanoGrotesque-Medium" w:cs="Arial"/>
          <w:b/>
        </w:rPr>
        <w:t>Hacia dónde vamos</w:t>
      </w:r>
    </w:p>
    <w:p w14:paraId="711D3265" w14:textId="77777777" w:rsidR="00E47EF3" w:rsidRPr="00C00F95" w:rsidRDefault="00E47EF3" w:rsidP="005B55C4">
      <w:pPr>
        <w:spacing w:afterLines="100"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En Michoacán, la pobreza en todas sus formas sigue siendo uno de los principales desafíos y el combate a este flagelo será el eje de la planeación orientada a cerrar las brechas de desigualdad y promover la inclusión social. </w:t>
      </w:r>
    </w:p>
    <w:p w14:paraId="082331B3" w14:textId="77777777" w:rsidR="00E47EF3" w:rsidRPr="00C00F95" w:rsidRDefault="00E47EF3" w:rsidP="005B55C4">
      <w:pPr>
        <w:spacing w:afterLines="100"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Por tanto, se impulsará la inclusión social eficaz mediante el fomento del empleo a las personas más vulnerables, asegurando el acceso de las personas a un empleo e ingreso dignos.</w:t>
      </w:r>
    </w:p>
    <w:p w14:paraId="49364DCF" w14:textId="77777777" w:rsidR="00E47EF3" w:rsidRPr="00C00F95" w:rsidRDefault="00E47EF3" w:rsidP="005B55C4">
      <w:pPr>
        <w:spacing w:afterLines="100"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lastRenderedPageBreak/>
        <w:t xml:space="preserve">En el ámbito educativo, se implementarán proyectos para reducir el abandono escolar como elemento clave para la prevención de la exclusión social; se fortalecerá la formación profesional como herramienta para la capacitación de la población con mayores dificultades para acceder al empleo; se impulsará la inclusión escolar y social, adecuando la gestión educativa a las personas con una perspectiva multicultural y plurilingüe, incluyente y enfocada hacia los grupos más vulnerables de la sociedad. Se buscará también construir una cultura educativa contra la violencia y con sentido de comunidad. </w:t>
      </w:r>
    </w:p>
    <w:p w14:paraId="4353D75D" w14:textId="77777777" w:rsidR="00E47EF3" w:rsidRPr="00C00F95" w:rsidRDefault="00E47EF3" w:rsidP="005B55C4">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En este sentido se dará continuidad a los programas federales con CONAFE e INEA, los cuales han ayudado a lograr una mayor calidad y cobertura de los servicios educativos, a través del apoyo brindado a la población en 49 albergues estatales y dos casa-escuela en 29 municipios de seis regiones del Estado. </w:t>
      </w:r>
    </w:p>
    <w:p w14:paraId="0279EA79" w14:textId="77777777" w:rsidR="00E47EF3" w:rsidRPr="00C00F95" w:rsidRDefault="00E47EF3" w:rsidP="005B55C4">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lastRenderedPageBreak/>
        <w:t>En el tema de la vivienda, se estimulará la inclusión social activa desde las políticas de acceso a una vivienda</w:t>
      </w:r>
      <w:r w:rsidRPr="00E47EF3">
        <w:rPr>
          <w:rFonts w:ascii="GalanoGrotesque-Medium" w:eastAsia="Times New Roman" w:hAnsi="GalanoGrotesque-Medium" w:cs="Arial"/>
          <w:sz w:val="24"/>
          <w:szCs w:val="24"/>
          <w:lang w:val="es-ES" w:eastAsia="es-ES"/>
        </w:rPr>
        <w:t xml:space="preserve"> </w:t>
      </w:r>
      <w:r w:rsidRPr="00C00F95">
        <w:rPr>
          <w:rFonts w:ascii="MyriadPro-Regular" w:hAnsi="MyriadPro-Regular" w:cs="MyriadPro-Regular"/>
          <w:color w:val="414142"/>
          <w:sz w:val="20"/>
          <w:szCs w:val="20"/>
        </w:rPr>
        <w:t xml:space="preserve">adecuada a todas las personas que lo necesitan y, en específico, a las personas con discapacidad y adultos mayores. </w:t>
      </w:r>
    </w:p>
    <w:p w14:paraId="1A24D5B6" w14:textId="77777777" w:rsidR="00E47EF3" w:rsidRPr="00C00F95" w:rsidRDefault="00E47EF3" w:rsidP="005B55C4">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En el sector salud, se implementarán medidas y acciones que persigan la equidad en el acceso a los servicios de salud y la prevención de situaciones de exclusión social, garantizando el acceso a los servicios y a la alimentación a todas las personas en igualdad de condiciones.</w:t>
      </w:r>
    </w:p>
    <w:p w14:paraId="122771FA" w14:textId="77777777" w:rsidR="00E47EF3" w:rsidRPr="00C00F95" w:rsidRDefault="00E47EF3" w:rsidP="005B55C4">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En especial, se dará especial atención a las comunidades indígenas en los municipios con mayores índices de pobreza, con carencia de acceso a la vivienda, calidad y espacios de la vivienda y se establecerán programas de empleo para jóvenes.</w:t>
      </w:r>
    </w:p>
    <w:p w14:paraId="0E4C398C" w14:textId="77777777" w:rsidR="00326604" w:rsidRDefault="00E47EF3" w:rsidP="005B55C4">
      <w:pPr>
        <w:spacing w:after="160" w:line="240" w:lineRule="auto"/>
        <w:jc w:val="both"/>
        <w:rPr>
          <w:rFonts w:ascii="MyriadPro-Regular" w:hAnsi="MyriadPro-Regular" w:cs="MyriadPro-Regular"/>
          <w:color w:val="414142"/>
          <w:sz w:val="20"/>
          <w:szCs w:val="20"/>
        </w:rPr>
        <w:sectPr w:rsidR="00326604" w:rsidSect="00E47EF3">
          <w:footnotePr>
            <w:numStart w:val="4"/>
          </w:footnotePr>
          <w:type w:val="continuous"/>
          <w:pgSz w:w="12240" w:h="15840"/>
          <w:pgMar w:top="1418" w:right="1134" w:bottom="1418" w:left="1134" w:header="709" w:footer="709" w:gutter="0"/>
          <w:cols w:num="2" w:space="567"/>
          <w:docGrid w:linePitch="360"/>
        </w:sectPr>
      </w:pPr>
      <w:r w:rsidRPr="00C00F95">
        <w:rPr>
          <w:rFonts w:ascii="MyriadPro-Regular" w:hAnsi="MyriadPro-Regular" w:cs="MyriadPro-Regular"/>
          <w:color w:val="414142"/>
          <w:sz w:val="20"/>
          <w:szCs w:val="20"/>
        </w:rPr>
        <w:t xml:space="preserve">Para lograr lo anterior se plantean los objetivos, líneas estratégicas y acciones </w:t>
      </w:r>
      <w:r w:rsidR="00326604">
        <w:rPr>
          <w:rFonts w:ascii="MyriadPro-Regular" w:hAnsi="MyriadPro-Regular" w:cs="MyriadPro-Regular"/>
          <w:color w:val="414142"/>
          <w:sz w:val="20"/>
          <w:szCs w:val="20"/>
        </w:rPr>
        <w:t>que se muestran en la Tabla 5.2</w:t>
      </w:r>
    </w:p>
    <w:p w14:paraId="1D486C67" w14:textId="77777777" w:rsidR="00E47EF3" w:rsidRPr="005B55C4" w:rsidRDefault="00E47EF3" w:rsidP="005B55C4">
      <w:pPr>
        <w:spacing w:after="0" w:line="180" w:lineRule="exact"/>
        <w:jc w:val="both"/>
        <w:rPr>
          <w:rFonts w:ascii="MyriadPro-Regular" w:hAnsi="MyriadPro-Regular" w:cs="MyriadPro-Regular"/>
          <w:color w:val="414142"/>
          <w:sz w:val="14"/>
          <w:szCs w:val="20"/>
        </w:rPr>
      </w:pPr>
    </w:p>
    <w:p w14:paraId="7E737C43" w14:textId="77777777" w:rsidR="00326604" w:rsidRPr="00D63823" w:rsidRDefault="00326604" w:rsidP="005B55C4">
      <w:pPr>
        <w:spacing w:after="0" w:line="180" w:lineRule="exact"/>
        <w:jc w:val="center"/>
        <w:rPr>
          <w:rFonts w:ascii="MyriadPro-Regular" w:eastAsia="Times New Roman" w:hAnsi="MyriadPro-Regular" w:cs="Arial"/>
          <w:b/>
          <w:sz w:val="20"/>
          <w:szCs w:val="20"/>
          <w:lang w:eastAsia="es-MX"/>
        </w:rPr>
      </w:pPr>
      <w:r w:rsidRPr="00D63823">
        <w:rPr>
          <w:rFonts w:ascii="MyriadPro-Regular" w:eastAsia="Times New Roman" w:hAnsi="MyriadPro-Regular" w:cs="Arial"/>
          <w:b/>
          <w:sz w:val="20"/>
          <w:szCs w:val="20"/>
          <w:lang w:eastAsia="es-MX"/>
        </w:rPr>
        <w:t>Tabla 5.2</w:t>
      </w:r>
    </w:p>
    <w:p w14:paraId="2F73162B" w14:textId="77777777" w:rsidR="00E47EF3" w:rsidRPr="00D63823" w:rsidRDefault="00326604" w:rsidP="005B55C4">
      <w:pPr>
        <w:spacing w:after="160" w:line="180" w:lineRule="exact"/>
        <w:jc w:val="center"/>
        <w:rPr>
          <w:rFonts w:ascii="MyriadPro-Regular" w:eastAsia="Times New Roman" w:hAnsi="MyriadPro-Regular" w:cs="Arial"/>
          <w:b/>
          <w:sz w:val="20"/>
          <w:szCs w:val="20"/>
          <w:lang w:eastAsia="es-MX"/>
        </w:rPr>
      </w:pPr>
      <w:r w:rsidRPr="00D63823">
        <w:rPr>
          <w:rFonts w:ascii="MyriadPro-Regular" w:eastAsia="Times New Roman" w:hAnsi="MyriadPro-Regular" w:cs="Arial"/>
          <w:b/>
          <w:sz w:val="20"/>
          <w:szCs w:val="20"/>
          <w:lang w:eastAsia="es-MX"/>
        </w:rPr>
        <w:t>Objetivos, Líneas Estratégicas y Acciones</w:t>
      </w:r>
    </w:p>
    <w:tbl>
      <w:tblPr>
        <w:tblStyle w:val="Tablaconcuadrcula"/>
        <w:tblW w:w="9072" w:type="dxa"/>
        <w:jc w:val="center"/>
        <w:tblLook w:val="04A0" w:firstRow="1" w:lastRow="0" w:firstColumn="1" w:lastColumn="0" w:noHBand="0" w:noVBand="1"/>
      </w:tblPr>
      <w:tblGrid>
        <w:gridCol w:w="9072"/>
      </w:tblGrid>
      <w:tr w:rsidR="00326604" w:rsidRPr="00E47EF3" w14:paraId="70308D4C" w14:textId="77777777" w:rsidTr="00326604">
        <w:trPr>
          <w:jc w:val="center"/>
        </w:trPr>
        <w:tc>
          <w:tcPr>
            <w:tcW w:w="9072" w:type="dxa"/>
            <w:shd w:val="clear" w:color="auto" w:fill="EC4ED5"/>
          </w:tcPr>
          <w:p w14:paraId="6D2644F6" w14:textId="77777777" w:rsidR="00326604" w:rsidRPr="00D63823" w:rsidRDefault="00326604" w:rsidP="00326604">
            <w:pPr>
              <w:ind w:left="1452" w:hanging="1452"/>
              <w:rPr>
                <w:rFonts w:ascii="MyriadPro-Regular" w:hAnsi="MyriadPro-Regular" w:cs="Arial"/>
              </w:rPr>
            </w:pPr>
            <w:r w:rsidRPr="00D63823">
              <w:rPr>
                <w:rFonts w:ascii="MyriadPro-Regular" w:hAnsi="MyriadPro-Regular" w:cs="Arial"/>
              </w:rPr>
              <w:t>Prioridad 5: Cubrir las necesidades básicas y promover la inclusión y acceso de los más necesitados.</w:t>
            </w:r>
          </w:p>
        </w:tc>
      </w:tr>
      <w:tr w:rsidR="00326604" w:rsidRPr="00E47EF3" w14:paraId="2FB5CE8E" w14:textId="77777777" w:rsidTr="00326604">
        <w:trPr>
          <w:trHeight w:val="283"/>
          <w:jc w:val="center"/>
        </w:trPr>
        <w:tc>
          <w:tcPr>
            <w:tcW w:w="9072" w:type="dxa"/>
            <w:shd w:val="clear" w:color="auto" w:fill="EC4ED5"/>
          </w:tcPr>
          <w:p w14:paraId="11A9873C" w14:textId="77777777" w:rsidR="00326604" w:rsidRPr="00D63823" w:rsidRDefault="00326604" w:rsidP="00326604">
            <w:pPr>
              <w:rPr>
                <w:rFonts w:ascii="MyriadPro-Regular" w:hAnsi="MyriadPro-Regular" w:cs="Arial"/>
              </w:rPr>
            </w:pPr>
            <w:r w:rsidRPr="00D63823">
              <w:rPr>
                <w:rFonts w:ascii="MyriadPro-Regular" w:hAnsi="MyriadPro-Regular" w:cs="Arial"/>
              </w:rPr>
              <w:t>Objetivo</w:t>
            </w:r>
          </w:p>
        </w:tc>
      </w:tr>
      <w:tr w:rsidR="00326604" w:rsidRPr="00E47EF3" w14:paraId="68DBFB28" w14:textId="77777777" w:rsidTr="00326604">
        <w:trPr>
          <w:trHeight w:val="132"/>
          <w:jc w:val="center"/>
        </w:trPr>
        <w:tc>
          <w:tcPr>
            <w:tcW w:w="9072" w:type="dxa"/>
            <w:shd w:val="clear" w:color="auto" w:fill="auto"/>
          </w:tcPr>
          <w:p w14:paraId="6CC1FB8B" w14:textId="77777777" w:rsidR="00326604" w:rsidRPr="00D63823" w:rsidRDefault="00326604" w:rsidP="00326604">
            <w:pPr>
              <w:ind w:left="489" w:hanging="427"/>
              <w:jc w:val="both"/>
              <w:rPr>
                <w:rFonts w:ascii="MyriadPro-Regular" w:hAnsi="MyriadPro-Regular" w:cs="Arial"/>
              </w:rPr>
            </w:pPr>
            <w:r w:rsidRPr="00D63823">
              <w:rPr>
                <w:rFonts w:ascii="MyriadPro-Regular" w:hAnsi="MyriadPro-Regular" w:cs="Arial"/>
              </w:rPr>
              <w:t>5.1 Garantizar la inclusión y equidad educativa,  salud y vivienda  entre todos los grupos de la población.</w:t>
            </w:r>
          </w:p>
        </w:tc>
      </w:tr>
      <w:tr w:rsidR="00326604" w:rsidRPr="00E47EF3" w14:paraId="3F8353C1" w14:textId="77777777" w:rsidTr="00326604">
        <w:trPr>
          <w:jc w:val="center"/>
        </w:trPr>
        <w:tc>
          <w:tcPr>
            <w:tcW w:w="9072" w:type="dxa"/>
            <w:shd w:val="clear" w:color="auto" w:fill="EC4ED5"/>
          </w:tcPr>
          <w:p w14:paraId="5A3F0A84" w14:textId="77777777" w:rsidR="00326604" w:rsidRPr="00D63823" w:rsidRDefault="00326604" w:rsidP="00326604">
            <w:pPr>
              <w:rPr>
                <w:rFonts w:ascii="MyriadPro-Regular" w:hAnsi="MyriadPro-Regular" w:cs="Arial"/>
              </w:rPr>
            </w:pPr>
            <w:r w:rsidRPr="00D63823">
              <w:rPr>
                <w:rFonts w:ascii="MyriadPro-Regular" w:hAnsi="MyriadPro-Regular" w:cs="Arial"/>
              </w:rPr>
              <w:t>Línea estratégica</w:t>
            </w:r>
          </w:p>
        </w:tc>
      </w:tr>
      <w:tr w:rsidR="00326604" w:rsidRPr="00E47EF3" w14:paraId="68FCC0F8" w14:textId="77777777" w:rsidTr="00326604">
        <w:trPr>
          <w:trHeight w:val="338"/>
          <w:jc w:val="center"/>
        </w:trPr>
        <w:tc>
          <w:tcPr>
            <w:tcW w:w="9072" w:type="dxa"/>
            <w:shd w:val="clear" w:color="auto" w:fill="auto"/>
          </w:tcPr>
          <w:p w14:paraId="2C30D8E0" w14:textId="77777777" w:rsidR="00326604" w:rsidRPr="00D63823" w:rsidRDefault="00326604" w:rsidP="00326604">
            <w:pPr>
              <w:tabs>
                <w:tab w:val="left" w:pos="1339"/>
              </w:tabs>
              <w:ind w:left="629"/>
              <w:contextualSpacing/>
              <w:jc w:val="both"/>
              <w:rPr>
                <w:rFonts w:ascii="MyriadPro-Regular" w:hAnsi="MyriadPro-Regular" w:cs="Arial"/>
              </w:rPr>
            </w:pPr>
            <w:r w:rsidRPr="00D63823">
              <w:rPr>
                <w:rFonts w:ascii="MyriadPro-Regular" w:hAnsi="MyriadPro-Regular" w:cs="Arial"/>
              </w:rPr>
              <w:t>5.1.1 Reducir las brechas en materia de salud, educación y vivienda entre los distintos grupos de la población, principalmente de los que se encuentran en estado de vulnerabilidad.</w:t>
            </w:r>
          </w:p>
        </w:tc>
      </w:tr>
      <w:tr w:rsidR="00326604" w:rsidRPr="00E47EF3" w14:paraId="35788606" w14:textId="77777777" w:rsidTr="00326604">
        <w:trPr>
          <w:jc w:val="center"/>
        </w:trPr>
        <w:tc>
          <w:tcPr>
            <w:tcW w:w="9072" w:type="dxa"/>
            <w:shd w:val="clear" w:color="auto" w:fill="EC4ED5"/>
          </w:tcPr>
          <w:p w14:paraId="4383E1C1" w14:textId="77777777" w:rsidR="00326604" w:rsidRPr="00D63823" w:rsidRDefault="00326604" w:rsidP="00326604">
            <w:pPr>
              <w:rPr>
                <w:rFonts w:ascii="MyriadPro-Regular" w:hAnsi="MyriadPro-Regular" w:cs="Arial"/>
              </w:rPr>
            </w:pPr>
            <w:r w:rsidRPr="00D63823">
              <w:rPr>
                <w:rFonts w:ascii="MyriadPro-Regular" w:hAnsi="MyriadPro-Regular" w:cs="Arial"/>
              </w:rPr>
              <w:t>Acciones</w:t>
            </w:r>
          </w:p>
        </w:tc>
      </w:tr>
      <w:tr w:rsidR="00326604" w:rsidRPr="00E47EF3" w14:paraId="6B7477F8" w14:textId="77777777" w:rsidTr="00326604">
        <w:trPr>
          <w:jc w:val="center"/>
        </w:trPr>
        <w:tc>
          <w:tcPr>
            <w:tcW w:w="9072" w:type="dxa"/>
            <w:shd w:val="clear" w:color="auto" w:fill="auto"/>
          </w:tcPr>
          <w:p w14:paraId="6BBA7702" w14:textId="77777777" w:rsidR="00326604" w:rsidRPr="00D63823" w:rsidRDefault="00326604" w:rsidP="00326604">
            <w:pPr>
              <w:ind w:left="1593" w:hanging="567"/>
              <w:jc w:val="both"/>
              <w:rPr>
                <w:rFonts w:ascii="MyriadPro-Regular" w:hAnsi="MyriadPro-Regular" w:cs="Arial"/>
              </w:rPr>
            </w:pPr>
            <w:r w:rsidRPr="00D63823">
              <w:rPr>
                <w:rFonts w:ascii="MyriadPro-Regular" w:hAnsi="MyriadPro-Regular" w:cs="Arial"/>
              </w:rPr>
              <w:t>5.1.1.1 Promover una educación con una perspectiva multicultural y plurilingüe.</w:t>
            </w:r>
          </w:p>
        </w:tc>
      </w:tr>
      <w:tr w:rsidR="00326604" w:rsidRPr="00E47EF3" w14:paraId="0CAFA1D9" w14:textId="77777777" w:rsidTr="00326604">
        <w:trPr>
          <w:jc w:val="center"/>
        </w:trPr>
        <w:tc>
          <w:tcPr>
            <w:tcW w:w="9072" w:type="dxa"/>
            <w:shd w:val="clear" w:color="auto" w:fill="auto"/>
          </w:tcPr>
          <w:p w14:paraId="6E2B42D4" w14:textId="77777777" w:rsidR="00326604" w:rsidRPr="00D63823" w:rsidRDefault="00326604" w:rsidP="00326604">
            <w:pPr>
              <w:ind w:left="1593" w:hanging="567"/>
              <w:jc w:val="both"/>
              <w:rPr>
                <w:rFonts w:ascii="MyriadPro-Regular" w:hAnsi="MyriadPro-Regular" w:cs="Arial"/>
              </w:rPr>
            </w:pPr>
            <w:r w:rsidRPr="00D63823">
              <w:rPr>
                <w:rFonts w:ascii="MyriadPro-Regular" w:hAnsi="MyriadPro-Regular" w:cs="Arial"/>
              </w:rPr>
              <w:t>5.1.1.2 Desarrollar un programa de servicios educativos y culturales dirigido a adultos mayores y personas con discapacidad.</w:t>
            </w:r>
          </w:p>
        </w:tc>
      </w:tr>
      <w:tr w:rsidR="00326604" w:rsidRPr="00E47EF3" w14:paraId="72F6C292" w14:textId="77777777" w:rsidTr="00326604">
        <w:trPr>
          <w:jc w:val="center"/>
        </w:trPr>
        <w:tc>
          <w:tcPr>
            <w:tcW w:w="9072" w:type="dxa"/>
            <w:shd w:val="clear" w:color="auto" w:fill="auto"/>
          </w:tcPr>
          <w:p w14:paraId="48E0CBC9" w14:textId="77777777" w:rsidR="00326604" w:rsidRPr="00D63823" w:rsidRDefault="00326604" w:rsidP="00326604">
            <w:pPr>
              <w:ind w:left="1593" w:hanging="567"/>
              <w:jc w:val="both"/>
              <w:rPr>
                <w:rFonts w:ascii="MyriadPro-Regular" w:hAnsi="MyriadPro-Regular" w:cs="Arial"/>
              </w:rPr>
            </w:pPr>
            <w:r w:rsidRPr="00D63823">
              <w:rPr>
                <w:rFonts w:ascii="MyriadPro-Regular" w:hAnsi="MyriadPro-Regular" w:cs="Arial"/>
              </w:rPr>
              <w:t>5.1.1.3 Generar programas especiales para jóvenes y adultos con rezago educativo y erradicar el analfabetismo.</w:t>
            </w:r>
          </w:p>
        </w:tc>
      </w:tr>
      <w:tr w:rsidR="00326604" w:rsidRPr="00E47EF3" w14:paraId="51C17B0C" w14:textId="77777777" w:rsidTr="00326604">
        <w:trPr>
          <w:jc w:val="center"/>
        </w:trPr>
        <w:tc>
          <w:tcPr>
            <w:tcW w:w="9072" w:type="dxa"/>
            <w:shd w:val="clear" w:color="auto" w:fill="auto"/>
          </w:tcPr>
          <w:p w14:paraId="7F935219" w14:textId="77777777" w:rsidR="00326604" w:rsidRPr="00D63823" w:rsidRDefault="00326604" w:rsidP="00326604">
            <w:pPr>
              <w:ind w:left="1593" w:hanging="567"/>
              <w:jc w:val="both"/>
              <w:rPr>
                <w:rFonts w:ascii="MyriadPro-Regular" w:hAnsi="MyriadPro-Regular" w:cs="Arial"/>
              </w:rPr>
            </w:pPr>
            <w:r w:rsidRPr="00D63823">
              <w:rPr>
                <w:rFonts w:ascii="MyriadPro-Regular" w:hAnsi="MyriadPro-Regular" w:cs="Arial"/>
              </w:rPr>
              <w:t>5.1.1.4 Asegurar mayor cobertura, inclusión y equidad educativa entre todos los grupos de la población.</w:t>
            </w:r>
          </w:p>
        </w:tc>
      </w:tr>
      <w:tr w:rsidR="00326604" w:rsidRPr="00E47EF3" w14:paraId="6B5B84D5" w14:textId="77777777" w:rsidTr="00326604">
        <w:trPr>
          <w:jc w:val="center"/>
        </w:trPr>
        <w:tc>
          <w:tcPr>
            <w:tcW w:w="9072" w:type="dxa"/>
            <w:shd w:val="clear" w:color="auto" w:fill="auto"/>
          </w:tcPr>
          <w:p w14:paraId="069A5FD8" w14:textId="77777777" w:rsidR="00326604" w:rsidRPr="00D63823" w:rsidRDefault="00326604" w:rsidP="00326604">
            <w:pPr>
              <w:ind w:left="1593" w:hanging="567"/>
              <w:jc w:val="both"/>
              <w:rPr>
                <w:rFonts w:ascii="MyriadPro-Regular" w:hAnsi="MyriadPro-Regular" w:cs="Arial"/>
              </w:rPr>
            </w:pPr>
            <w:r w:rsidRPr="00D63823">
              <w:rPr>
                <w:rFonts w:ascii="MyriadPro-Regular" w:hAnsi="MyriadPro-Regular" w:cs="Arial"/>
              </w:rPr>
              <w:t>5.1.1.5 Construir una cultura educativa para erradicar la violencia en todas sus formas y las escuelas como centros de lectura.</w:t>
            </w:r>
          </w:p>
        </w:tc>
      </w:tr>
      <w:tr w:rsidR="00326604" w:rsidRPr="00E47EF3" w14:paraId="7B1E3A76" w14:textId="77777777" w:rsidTr="00326604">
        <w:trPr>
          <w:jc w:val="center"/>
        </w:trPr>
        <w:tc>
          <w:tcPr>
            <w:tcW w:w="9072" w:type="dxa"/>
            <w:shd w:val="clear" w:color="auto" w:fill="auto"/>
          </w:tcPr>
          <w:p w14:paraId="3103D564" w14:textId="77777777" w:rsidR="00326604" w:rsidRPr="00D63823" w:rsidRDefault="00326604" w:rsidP="00326604">
            <w:pPr>
              <w:ind w:left="1593" w:hanging="567"/>
              <w:jc w:val="both"/>
              <w:rPr>
                <w:rFonts w:ascii="MyriadPro-Regular" w:hAnsi="MyriadPro-Regular" w:cs="Arial"/>
              </w:rPr>
            </w:pPr>
            <w:r w:rsidRPr="00D63823">
              <w:rPr>
                <w:rFonts w:ascii="MyriadPro-Regular" w:hAnsi="MyriadPro-Regular" w:cs="Arial"/>
              </w:rPr>
              <w:t xml:space="preserve">5.1.1.6 Ampliar el programa de acceso y permanencia educativa para los sectores, regiones y poblaciones marginadas. </w:t>
            </w:r>
          </w:p>
        </w:tc>
      </w:tr>
      <w:tr w:rsidR="00326604" w:rsidRPr="00E47EF3" w14:paraId="4377CFFA" w14:textId="77777777" w:rsidTr="00326604">
        <w:trPr>
          <w:jc w:val="center"/>
        </w:trPr>
        <w:tc>
          <w:tcPr>
            <w:tcW w:w="9072" w:type="dxa"/>
            <w:shd w:val="clear" w:color="auto" w:fill="auto"/>
          </w:tcPr>
          <w:p w14:paraId="51B5B89A" w14:textId="77777777" w:rsidR="00326604" w:rsidRPr="00D63823" w:rsidRDefault="00326604" w:rsidP="00326604">
            <w:pPr>
              <w:ind w:left="1593" w:hanging="567"/>
              <w:contextualSpacing/>
              <w:jc w:val="both"/>
              <w:rPr>
                <w:rFonts w:ascii="MyriadPro-Regular" w:hAnsi="MyriadPro-Regular" w:cs="Arial"/>
              </w:rPr>
            </w:pPr>
            <w:r w:rsidRPr="00D63823">
              <w:rPr>
                <w:rFonts w:ascii="MyriadPro-Regular" w:hAnsi="MyriadPro-Regular" w:cs="Arial"/>
              </w:rPr>
              <w:t>5.1.1.7 Asegurar las condiciones para permitir el acceso de los trabajadores a una educación continua para la profesionalización de sus conocimientos.</w:t>
            </w:r>
          </w:p>
        </w:tc>
      </w:tr>
      <w:tr w:rsidR="00326604" w:rsidRPr="00E47EF3" w14:paraId="4F437DD2" w14:textId="77777777" w:rsidTr="00326604">
        <w:trPr>
          <w:jc w:val="center"/>
        </w:trPr>
        <w:tc>
          <w:tcPr>
            <w:tcW w:w="9072" w:type="dxa"/>
            <w:shd w:val="clear" w:color="auto" w:fill="auto"/>
          </w:tcPr>
          <w:p w14:paraId="6672701A" w14:textId="77777777" w:rsidR="00326604" w:rsidRPr="00D63823" w:rsidRDefault="00326604" w:rsidP="00326604">
            <w:pPr>
              <w:ind w:left="1593" w:hanging="567"/>
              <w:contextualSpacing/>
              <w:jc w:val="both"/>
              <w:rPr>
                <w:rFonts w:ascii="MyriadPro-Regular" w:hAnsi="MyriadPro-Regular" w:cs="Arial"/>
              </w:rPr>
            </w:pPr>
            <w:r w:rsidRPr="00D63823">
              <w:rPr>
                <w:rFonts w:ascii="MyriadPro-Regular" w:hAnsi="MyriadPro-Regular" w:cs="Arial"/>
              </w:rPr>
              <w:t>5.1.1.8 Implementar programas de asistencia a personas con discapacidad y en rehabilitación, con el apoyo de animales de compañía en situación de abandono.</w:t>
            </w:r>
          </w:p>
        </w:tc>
      </w:tr>
      <w:tr w:rsidR="00326604" w:rsidRPr="00E47EF3" w14:paraId="60C310FA" w14:textId="77777777" w:rsidTr="00326604">
        <w:trPr>
          <w:jc w:val="center"/>
        </w:trPr>
        <w:tc>
          <w:tcPr>
            <w:tcW w:w="9072" w:type="dxa"/>
            <w:shd w:val="clear" w:color="auto" w:fill="auto"/>
          </w:tcPr>
          <w:p w14:paraId="6B3EBC1A" w14:textId="77777777" w:rsidR="00326604" w:rsidRPr="00D63823" w:rsidRDefault="00326604" w:rsidP="00326604">
            <w:pPr>
              <w:ind w:left="1593" w:hanging="567"/>
              <w:jc w:val="both"/>
              <w:rPr>
                <w:rFonts w:ascii="MyriadPro-Regular" w:hAnsi="MyriadPro-Regular" w:cs="Arial"/>
              </w:rPr>
            </w:pPr>
            <w:r w:rsidRPr="00D63823">
              <w:rPr>
                <w:rFonts w:ascii="MyriadPro-Regular" w:hAnsi="MyriadPro-Regular" w:cs="Arial"/>
              </w:rPr>
              <w:t xml:space="preserve">5.1.1.9 Atender la carencia social de vivienda con calidad, servicios básicos y bienes domésticos. </w:t>
            </w:r>
          </w:p>
        </w:tc>
      </w:tr>
      <w:tr w:rsidR="00326604" w:rsidRPr="00E47EF3" w14:paraId="63AE9DC0" w14:textId="77777777" w:rsidTr="00326604">
        <w:trPr>
          <w:jc w:val="center"/>
        </w:trPr>
        <w:tc>
          <w:tcPr>
            <w:tcW w:w="9072" w:type="dxa"/>
            <w:shd w:val="clear" w:color="auto" w:fill="auto"/>
          </w:tcPr>
          <w:p w14:paraId="366F3770" w14:textId="77777777" w:rsidR="00326604" w:rsidRPr="00D63823" w:rsidRDefault="00326604" w:rsidP="00326604">
            <w:pPr>
              <w:ind w:left="1593" w:hanging="567"/>
              <w:jc w:val="both"/>
              <w:rPr>
                <w:rFonts w:ascii="MyriadPro-Regular" w:hAnsi="MyriadPro-Regular" w:cs="Arial"/>
              </w:rPr>
            </w:pPr>
            <w:r w:rsidRPr="00D63823">
              <w:rPr>
                <w:rFonts w:ascii="MyriadPro-Regular" w:hAnsi="MyriadPro-Regular" w:cs="Arial"/>
              </w:rPr>
              <w:t>5.1.1.10 Involucrar a los Ayuntamientos en la atención de la demanda de vivienda y de servicios básicos en zonas de alta y muy alta marginación.</w:t>
            </w:r>
          </w:p>
        </w:tc>
      </w:tr>
      <w:tr w:rsidR="00326604" w:rsidRPr="00E47EF3" w14:paraId="79C7248A" w14:textId="77777777" w:rsidTr="00326604">
        <w:trPr>
          <w:jc w:val="center"/>
        </w:trPr>
        <w:tc>
          <w:tcPr>
            <w:tcW w:w="9072" w:type="dxa"/>
            <w:shd w:val="clear" w:color="auto" w:fill="auto"/>
          </w:tcPr>
          <w:p w14:paraId="3CE6B554" w14:textId="77777777" w:rsidR="00326604" w:rsidRPr="00D63823" w:rsidRDefault="00326604" w:rsidP="00326604">
            <w:pPr>
              <w:ind w:left="1593" w:hanging="567"/>
              <w:jc w:val="both"/>
              <w:rPr>
                <w:rFonts w:ascii="MyriadPro-Regular" w:hAnsi="MyriadPro-Regular" w:cs="Arial"/>
              </w:rPr>
            </w:pPr>
            <w:r w:rsidRPr="00D63823">
              <w:rPr>
                <w:rFonts w:ascii="MyriadPro-Regular" w:hAnsi="MyriadPro-Regular" w:cs="Arial"/>
              </w:rPr>
              <w:lastRenderedPageBreak/>
              <w:t>5.1.1.11 Generar proyectos transversales de apoyo alimentario, de salud, de educación, vivienda y servicios.</w:t>
            </w:r>
          </w:p>
        </w:tc>
      </w:tr>
      <w:tr w:rsidR="00326604" w:rsidRPr="00E47EF3" w14:paraId="7386C117" w14:textId="77777777" w:rsidTr="00326604">
        <w:trPr>
          <w:jc w:val="center"/>
        </w:trPr>
        <w:tc>
          <w:tcPr>
            <w:tcW w:w="9072" w:type="dxa"/>
            <w:shd w:val="clear" w:color="auto" w:fill="auto"/>
          </w:tcPr>
          <w:p w14:paraId="67D1B7D8" w14:textId="77777777" w:rsidR="00326604" w:rsidRPr="00D63823" w:rsidRDefault="00326604" w:rsidP="00326604">
            <w:pPr>
              <w:ind w:left="1593" w:hanging="567"/>
              <w:jc w:val="both"/>
              <w:rPr>
                <w:rFonts w:ascii="MyriadPro-Regular" w:hAnsi="MyriadPro-Regular" w:cs="Arial"/>
              </w:rPr>
            </w:pPr>
            <w:r w:rsidRPr="00D63823">
              <w:rPr>
                <w:rFonts w:ascii="MyriadPro-Regular" w:hAnsi="MyriadPro-Regular" w:cs="Arial"/>
              </w:rPr>
              <w:t>5.1.1.12 Fortalecer los programas de inclusión para la atención de las personas con discapacidad y grupos vulnerables en situación de pobreza.</w:t>
            </w:r>
          </w:p>
        </w:tc>
      </w:tr>
      <w:tr w:rsidR="00326604" w:rsidRPr="00E47EF3" w14:paraId="1285C4F0" w14:textId="77777777" w:rsidTr="00326604">
        <w:trPr>
          <w:jc w:val="center"/>
        </w:trPr>
        <w:tc>
          <w:tcPr>
            <w:tcW w:w="9072" w:type="dxa"/>
            <w:shd w:val="clear" w:color="auto" w:fill="EC4ED5"/>
          </w:tcPr>
          <w:p w14:paraId="13AA9794" w14:textId="77777777" w:rsidR="00326604" w:rsidRPr="00D63823" w:rsidRDefault="00326604" w:rsidP="00326604">
            <w:pPr>
              <w:rPr>
                <w:rFonts w:ascii="MyriadPro-Regular" w:hAnsi="MyriadPro-Regular" w:cs="Arial"/>
              </w:rPr>
            </w:pPr>
            <w:r w:rsidRPr="00D63823">
              <w:rPr>
                <w:rFonts w:ascii="MyriadPro-Regular" w:hAnsi="MyriadPro-Regular" w:cs="Arial"/>
              </w:rPr>
              <w:t>Línea estratégica</w:t>
            </w:r>
          </w:p>
        </w:tc>
      </w:tr>
      <w:tr w:rsidR="00326604" w:rsidRPr="00E47EF3" w14:paraId="3CF91ADF" w14:textId="77777777" w:rsidTr="00326604">
        <w:trPr>
          <w:trHeight w:val="436"/>
          <w:jc w:val="center"/>
        </w:trPr>
        <w:tc>
          <w:tcPr>
            <w:tcW w:w="9072" w:type="dxa"/>
            <w:shd w:val="clear" w:color="auto" w:fill="auto"/>
          </w:tcPr>
          <w:p w14:paraId="30E0D932" w14:textId="77777777" w:rsidR="00326604" w:rsidRPr="00D63823" w:rsidRDefault="00326604" w:rsidP="00326604">
            <w:pPr>
              <w:ind w:left="1960" w:hanging="1331"/>
              <w:rPr>
                <w:rFonts w:ascii="MyriadPro-Regular" w:hAnsi="MyriadPro-Regular" w:cs="Arial"/>
              </w:rPr>
            </w:pPr>
            <w:r w:rsidRPr="00D63823">
              <w:rPr>
                <w:rFonts w:ascii="MyriadPro-Regular" w:hAnsi="MyriadPro-Regular" w:cs="Arial"/>
              </w:rPr>
              <w:t>5.1.2 Brindar seguridad alimentaria.</w:t>
            </w:r>
          </w:p>
        </w:tc>
      </w:tr>
      <w:tr w:rsidR="00326604" w:rsidRPr="00E47EF3" w14:paraId="05E1861F" w14:textId="77777777" w:rsidTr="00326604">
        <w:trPr>
          <w:jc w:val="center"/>
        </w:trPr>
        <w:tc>
          <w:tcPr>
            <w:tcW w:w="9072" w:type="dxa"/>
            <w:shd w:val="clear" w:color="auto" w:fill="EC4ED5"/>
          </w:tcPr>
          <w:p w14:paraId="3B88B055" w14:textId="77777777" w:rsidR="00326604" w:rsidRPr="00D63823" w:rsidRDefault="00326604" w:rsidP="00326604">
            <w:pPr>
              <w:rPr>
                <w:rFonts w:ascii="MyriadPro-Regular" w:hAnsi="MyriadPro-Regular" w:cs="Arial"/>
              </w:rPr>
            </w:pPr>
            <w:r w:rsidRPr="00D63823">
              <w:rPr>
                <w:rFonts w:ascii="MyriadPro-Regular" w:hAnsi="MyriadPro-Regular" w:cs="Arial"/>
              </w:rPr>
              <w:t>Acciones</w:t>
            </w:r>
          </w:p>
        </w:tc>
      </w:tr>
      <w:tr w:rsidR="00326604" w:rsidRPr="00E47EF3" w14:paraId="1D71DC38" w14:textId="77777777" w:rsidTr="00326604">
        <w:trPr>
          <w:jc w:val="center"/>
        </w:trPr>
        <w:tc>
          <w:tcPr>
            <w:tcW w:w="9072" w:type="dxa"/>
            <w:shd w:val="clear" w:color="auto" w:fill="auto"/>
          </w:tcPr>
          <w:p w14:paraId="37E3138D" w14:textId="77777777" w:rsidR="00326604" w:rsidRPr="00D63823" w:rsidRDefault="00326604" w:rsidP="00326604">
            <w:pPr>
              <w:ind w:left="1593" w:hanging="567"/>
              <w:contextualSpacing/>
              <w:jc w:val="both"/>
              <w:rPr>
                <w:rFonts w:ascii="MyriadPro-Regular" w:hAnsi="MyriadPro-Regular" w:cs="Arial"/>
              </w:rPr>
            </w:pPr>
            <w:r w:rsidRPr="00D63823">
              <w:rPr>
                <w:rFonts w:ascii="MyriadPro-Regular" w:hAnsi="MyriadPro-Regular" w:cs="Arial"/>
              </w:rPr>
              <w:t>5.1.2.1 Garantizar la seguridad alimentaria en población lactante, infantil, mujeres embarazadas y adultos mayores.</w:t>
            </w:r>
          </w:p>
        </w:tc>
      </w:tr>
      <w:tr w:rsidR="00326604" w:rsidRPr="00E47EF3" w14:paraId="68A097F6" w14:textId="77777777" w:rsidTr="00326604">
        <w:trPr>
          <w:trHeight w:val="374"/>
          <w:jc w:val="center"/>
        </w:trPr>
        <w:tc>
          <w:tcPr>
            <w:tcW w:w="9072" w:type="dxa"/>
            <w:shd w:val="clear" w:color="auto" w:fill="auto"/>
          </w:tcPr>
          <w:p w14:paraId="341A1B93" w14:textId="77777777" w:rsidR="00326604" w:rsidRPr="00D63823" w:rsidRDefault="00326604" w:rsidP="00326604">
            <w:pPr>
              <w:ind w:left="1593" w:hanging="567"/>
              <w:contextualSpacing/>
              <w:jc w:val="both"/>
              <w:rPr>
                <w:rFonts w:ascii="MyriadPro-Regular" w:hAnsi="MyriadPro-Regular" w:cs="Arial"/>
              </w:rPr>
            </w:pPr>
            <w:r w:rsidRPr="00D63823">
              <w:rPr>
                <w:rFonts w:ascii="MyriadPro-Regular" w:hAnsi="MyriadPro-Regular" w:cs="Arial"/>
              </w:rPr>
              <w:t>5.1.2.2 Ampliar la cobertura de comedores escolares con calidad nutricional enfocando los mayores esfuerzos en las zonas, municipios y comunidades con mayor carencia alimentaria.</w:t>
            </w:r>
          </w:p>
        </w:tc>
      </w:tr>
      <w:tr w:rsidR="00326604" w:rsidRPr="00E47EF3" w14:paraId="4140AEFB" w14:textId="77777777" w:rsidTr="00326604">
        <w:trPr>
          <w:jc w:val="center"/>
        </w:trPr>
        <w:tc>
          <w:tcPr>
            <w:tcW w:w="9072" w:type="dxa"/>
            <w:shd w:val="clear" w:color="auto" w:fill="auto"/>
          </w:tcPr>
          <w:p w14:paraId="73F2B618" w14:textId="77777777" w:rsidR="00326604" w:rsidRPr="00D63823" w:rsidRDefault="00326604" w:rsidP="00326604">
            <w:pPr>
              <w:ind w:left="1593" w:hanging="567"/>
              <w:contextualSpacing/>
              <w:jc w:val="both"/>
              <w:rPr>
                <w:rFonts w:ascii="MyriadPro-Regular" w:hAnsi="MyriadPro-Regular" w:cs="Arial"/>
              </w:rPr>
            </w:pPr>
            <w:r w:rsidRPr="00D63823">
              <w:rPr>
                <w:rFonts w:ascii="MyriadPro-Regular" w:hAnsi="MyriadPro-Regular" w:cs="Arial"/>
              </w:rPr>
              <w:t>5.1.2.3 Impulsar en las zonas de alta y muy alta marginación proyectos productivos agrícolas que incluyan la autosuficiencia con productos de alto valor alimenticio.</w:t>
            </w:r>
          </w:p>
        </w:tc>
      </w:tr>
      <w:tr w:rsidR="00326604" w:rsidRPr="00E47EF3" w14:paraId="459F6FA2" w14:textId="77777777" w:rsidTr="00326604">
        <w:trPr>
          <w:jc w:val="center"/>
        </w:trPr>
        <w:tc>
          <w:tcPr>
            <w:tcW w:w="9072" w:type="dxa"/>
            <w:shd w:val="clear" w:color="auto" w:fill="EC4ED5"/>
          </w:tcPr>
          <w:p w14:paraId="69859B30" w14:textId="77777777" w:rsidR="00326604" w:rsidRPr="00D63823" w:rsidRDefault="00326604" w:rsidP="00326604">
            <w:pPr>
              <w:rPr>
                <w:rFonts w:ascii="MyriadPro-Regular" w:hAnsi="MyriadPro-Regular" w:cs="Arial"/>
              </w:rPr>
            </w:pPr>
            <w:r w:rsidRPr="00D63823">
              <w:rPr>
                <w:rFonts w:ascii="MyriadPro-Regular" w:hAnsi="MyriadPro-Regular" w:cs="Arial"/>
              </w:rPr>
              <w:t>Línea estratégica</w:t>
            </w:r>
          </w:p>
        </w:tc>
      </w:tr>
      <w:tr w:rsidR="00326604" w:rsidRPr="00E47EF3" w14:paraId="27F5BC76" w14:textId="77777777" w:rsidTr="00326604">
        <w:trPr>
          <w:jc w:val="center"/>
        </w:trPr>
        <w:tc>
          <w:tcPr>
            <w:tcW w:w="9072" w:type="dxa"/>
            <w:shd w:val="clear" w:color="auto" w:fill="auto"/>
          </w:tcPr>
          <w:p w14:paraId="108A629C" w14:textId="77777777" w:rsidR="00326604" w:rsidRPr="00D63823" w:rsidRDefault="00326604" w:rsidP="00326604">
            <w:pPr>
              <w:ind w:left="602"/>
              <w:contextualSpacing/>
              <w:jc w:val="both"/>
              <w:rPr>
                <w:rFonts w:ascii="MyriadPro-Regular" w:hAnsi="MyriadPro-Regular" w:cs="Arial"/>
              </w:rPr>
            </w:pPr>
            <w:r w:rsidRPr="00D63823">
              <w:rPr>
                <w:rFonts w:ascii="MyriadPro-Regular" w:hAnsi="MyriadPro-Regular" w:cs="Arial"/>
              </w:rPr>
              <w:t xml:space="preserve">5.1.3 Construir Comunidad. </w:t>
            </w:r>
          </w:p>
        </w:tc>
      </w:tr>
      <w:tr w:rsidR="00326604" w:rsidRPr="00E47EF3" w14:paraId="0A2F57D4" w14:textId="77777777" w:rsidTr="00326604">
        <w:trPr>
          <w:jc w:val="center"/>
        </w:trPr>
        <w:tc>
          <w:tcPr>
            <w:tcW w:w="9072" w:type="dxa"/>
            <w:shd w:val="clear" w:color="auto" w:fill="EC4ED5"/>
          </w:tcPr>
          <w:p w14:paraId="194BC0C7" w14:textId="77777777" w:rsidR="00326604" w:rsidRPr="00D63823" w:rsidRDefault="00326604" w:rsidP="00326604">
            <w:pPr>
              <w:rPr>
                <w:rFonts w:ascii="MyriadPro-Regular" w:hAnsi="MyriadPro-Regular" w:cs="Arial"/>
              </w:rPr>
            </w:pPr>
            <w:r w:rsidRPr="00D63823">
              <w:rPr>
                <w:rFonts w:ascii="MyriadPro-Regular" w:hAnsi="MyriadPro-Regular" w:cs="Arial"/>
              </w:rPr>
              <w:t>Acciones</w:t>
            </w:r>
          </w:p>
        </w:tc>
      </w:tr>
      <w:tr w:rsidR="00326604" w:rsidRPr="00E47EF3" w14:paraId="72B97532" w14:textId="77777777" w:rsidTr="00326604">
        <w:trPr>
          <w:jc w:val="center"/>
        </w:trPr>
        <w:tc>
          <w:tcPr>
            <w:tcW w:w="9072" w:type="dxa"/>
            <w:shd w:val="clear" w:color="auto" w:fill="auto"/>
          </w:tcPr>
          <w:p w14:paraId="55492912" w14:textId="77777777" w:rsidR="00326604" w:rsidRPr="00D63823" w:rsidRDefault="00326604" w:rsidP="00326604">
            <w:pPr>
              <w:tabs>
                <w:tab w:val="left" w:pos="1985"/>
              </w:tabs>
              <w:ind w:left="1593" w:hanging="708"/>
              <w:contextualSpacing/>
              <w:jc w:val="both"/>
              <w:rPr>
                <w:rFonts w:ascii="MyriadPro-Regular" w:hAnsi="MyriadPro-Regular" w:cs="Arial"/>
              </w:rPr>
            </w:pPr>
            <w:r w:rsidRPr="00D63823">
              <w:rPr>
                <w:rFonts w:ascii="MyriadPro-Regular" w:hAnsi="MyriadPro-Regular" w:cs="Arial"/>
              </w:rPr>
              <w:t>5.1.3.1 Promover el desarrollo de redes ciudadanas y convertir a la escuela en un centro de desarrollo social, cultural y deportivo comunitario.</w:t>
            </w:r>
          </w:p>
        </w:tc>
      </w:tr>
      <w:tr w:rsidR="00326604" w:rsidRPr="00E47EF3" w14:paraId="46894788" w14:textId="77777777" w:rsidTr="00326604">
        <w:trPr>
          <w:jc w:val="center"/>
        </w:trPr>
        <w:tc>
          <w:tcPr>
            <w:tcW w:w="9072" w:type="dxa"/>
            <w:shd w:val="clear" w:color="auto" w:fill="auto"/>
          </w:tcPr>
          <w:p w14:paraId="4FD20150" w14:textId="77777777" w:rsidR="00326604" w:rsidRPr="00D63823" w:rsidRDefault="00326604" w:rsidP="00326604">
            <w:pPr>
              <w:tabs>
                <w:tab w:val="left" w:pos="1985"/>
              </w:tabs>
              <w:ind w:left="1593" w:hanging="708"/>
              <w:contextualSpacing/>
              <w:jc w:val="both"/>
              <w:rPr>
                <w:rFonts w:ascii="MyriadPro-Regular" w:hAnsi="MyriadPro-Regular" w:cs="Arial"/>
              </w:rPr>
            </w:pPr>
            <w:r w:rsidRPr="00D63823">
              <w:rPr>
                <w:rFonts w:ascii="MyriadPro-Regular" w:hAnsi="MyriadPro-Regular" w:cs="Arial"/>
              </w:rPr>
              <w:t>5.1.3.2 Promover programas de cultura y educación desde la comunidad.</w:t>
            </w:r>
          </w:p>
        </w:tc>
      </w:tr>
      <w:tr w:rsidR="00326604" w:rsidRPr="00E47EF3" w14:paraId="1B49379A" w14:textId="77777777" w:rsidTr="00326604">
        <w:trPr>
          <w:jc w:val="center"/>
        </w:trPr>
        <w:tc>
          <w:tcPr>
            <w:tcW w:w="9072" w:type="dxa"/>
            <w:shd w:val="clear" w:color="auto" w:fill="auto"/>
          </w:tcPr>
          <w:p w14:paraId="1B8A14B5" w14:textId="77777777" w:rsidR="00326604" w:rsidRPr="00D63823" w:rsidRDefault="00326604" w:rsidP="00326604">
            <w:pPr>
              <w:ind w:left="1593" w:hanging="708"/>
              <w:contextualSpacing/>
              <w:jc w:val="both"/>
              <w:rPr>
                <w:rFonts w:ascii="MyriadPro-Regular" w:hAnsi="MyriadPro-Regular" w:cs="Arial"/>
              </w:rPr>
            </w:pPr>
            <w:r w:rsidRPr="00D63823">
              <w:rPr>
                <w:rFonts w:ascii="MyriadPro-Regular" w:hAnsi="MyriadPro-Regular" w:cs="Arial"/>
              </w:rPr>
              <w:t>5.1.3.3 Conformar un programa integral para jornaleros, migrantes y sus familias en situación de pobreza que incorpore el apoyo a los migrantes en el extranjero y a sus familias en Michoacán.</w:t>
            </w:r>
          </w:p>
        </w:tc>
      </w:tr>
      <w:tr w:rsidR="00326604" w:rsidRPr="00E47EF3" w14:paraId="4B3609F7" w14:textId="77777777" w:rsidTr="00326604">
        <w:trPr>
          <w:jc w:val="center"/>
        </w:trPr>
        <w:tc>
          <w:tcPr>
            <w:tcW w:w="9072" w:type="dxa"/>
            <w:shd w:val="clear" w:color="auto" w:fill="auto"/>
          </w:tcPr>
          <w:p w14:paraId="62E6CC3C" w14:textId="77777777" w:rsidR="00326604" w:rsidRPr="00D63823" w:rsidRDefault="00326604" w:rsidP="00326604">
            <w:pPr>
              <w:ind w:left="1593" w:hanging="708"/>
              <w:contextualSpacing/>
              <w:jc w:val="both"/>
              <w:rPr>
                <w:rFonts w:ascii="MyriadPro-Regular" w:hAnsi="MyriadPro-Regular" w:cs="Arial"/>
              </w:rPr>
            </w:pPr>
            <w:r w:rsidRPr="00D63823">
              <w:rPr>
                <w:rFonts w:ascii="MyriadPro-Regular" w:hAnsi="MyriadPro-Regular" w:cs="Arial"/>
              </w:rPr>
              <w:t>5.1.3.4 Fortalecer las Redes Regionales de Cultura del Estado de Michoacán.</w:t>
            </w:r>
          </w:p>
        </w:tc>
      </w:tr>
    </w:tbl>
    <w:p w14:paraId="73291F58" w14:textId="77777777" w:rsidR="00326604" w:rsidRDefault="00326604" w:rsidP="00326604">
      <w:pPr>
        <w:spacing w:after="0" w:line="240" w:lineRule="auto"/>
        <w:jc w:val="center"/>
        <w:rPr>
          <w:rFonts w:ascii="GalanoGrotesque-Medium" w:eastAsia="Times New Roman" w:hAnsi="GalanoGrotesque-Medium" w:cs="Arial"/>
          <w:sz w:val="24"/>
          <w:szCs w:val="24"/>
          <w:lang w:val="es-ES" w:eastAsia="es-ES"/>
        </w:rPr>
        <w:sectPr w:rsidR="00326604" w:rsidSect="00326604">
          <w:footnotePr>
            <w:numStart w:val="4"/>
          </w:footnotePr>
          <w:type w:val="continuous"/>
          <w:pgSz w:w="12240" w:h="15840"/>
          <w:pgMar w:top="1418" w:right="1134" w:bottom="1418" w:left="1134" w:header="709" w:footer="709" w:gutter="0"/>
          <w:cols w:space="567"/>
          <w:docGrid w:linePitch="360"/>
        </w:sectPr>
      </w:pPr>
    </w:p>
    <w:p w14:paraId="0BA47247" w14:textId="77777777" w:rsidR="00326604" w:rsidRPr="00E47EF3" w:rsidRDefault="00326604" w:rsidP="00326604">
      <w:pPr>
        <w:spacing w:after="0" w:line="240" w:lineRule="auto"/>
        <w:rPr>
          <w:rFonts w:ascii="GalanoGrotesque-Medium" w:eastAsia="Times New Roman" w:hAnsi="GalanoGrotesque-Medium" w:cs="Arial"/>
          <w:sz w:val="24"/>
          <w:szCs w:val="24"/>
          <w:lang w:val="es-ES" w:eastAsia="es-ES"/>
        </w:rPr>
      </w:pPr>
    </w:p>
    <w:p w14:paraId="3EC0B249" w14:textId="77777777" w:rsidR="00326604" w:rsidRDefault="00326604" w:rsidP="00326604">
      <w:pPr>
        <w:spacing w:after="240"/>
        <w:jc w:val="both"/>
        <w:rPr>
          <w:rFonts w:ascii="GalanoGrotesque-Medium" w:eastAsia="Times New Roman" w:hAnsi="GalanoGrotesque-Medium" w:cs="Arial"/>
          <w:sz w:val="24"/>
          <w:szCs w:val="24"/>
          <w:lang w:val="es-ES" w:eastAsia="es-ES"/>
        </w:rPr>
      </w:pPr>
    </w:p>
    <w:p w14:paraId="01845F9C" w14:textId="77777777" w:rsidR="00326604" w:rsidRPr="00326604" w:rsidRDefault="00326604" w:rsidP="00326604">
      <w:pPr>
        <w:spacing w:after="0" w:line="200" w:lineRule="exact"/>
        <w:jc w:val="center"/>
        <w:rPr>
          <w:rFonts w:ascii="GalanoGrotesque-Medium" w:eastAsia="Times New Roman" w:hAnsi="GalanoGrotesque-Medium" w:cs="Arial"/>
          <w:sz w:val="24"/>
          <w:szCs w:val="24"/>
          <w:lang w:val="es-ES" w:eastAsia="es-ES"/>
        </w:rPr>
      </w:pPr>
    </w:p>
    <w:p w14:paraId="4E5482EB" w14:textId="77777777" w:rsidR="006F4F61" w:rsidRDefault="006F4F61" w:rsidP="00E47EF3">
      <w:pPr>
        <w:spacing w:after="0" w:line="240" w:lineRule="auto"/>
        <w:jc w:val="center"/>
        <w:rPr>
          <w:rFonts w:ascii="GalanoGrotesque-Medium" w:eastAsia="Times New Roman" w:hAnsi="GalanoGrotesque-Medium" w:cs="Arial"/>
          <w:sz w:val="24"/>
          <w:szCs w:val="24"/>
          <w:lang w:val="es-ES" w:eastAsia="es-ES"/>
        </w:rPr>
        <w:sectPr w:rsidR="006F4F61" w:rsidSect="00326604">
          <w:footnotePr>
            <w:numStart w:val="4"/>
          </w:footnotePr>
          <w:type w:val="continuous"/>
          <w:pgSz w:w="12240" w:h="15840"/>
          <w:pgMar w:top="1418" w:right="1134" w:bottom="1418" w:left="1134" w:header="709" w:footer="709" w:gutter="0"/>
          <w:cols w:space="567"/>
          <w:docGrid w:linePitch="360"/>
        </w:sectPr>
      </w:pPr>
    </w:p>
    <w:p w14:paraId="1B2F4166" w14:textId="77777777" w:rsidR="00E47EF3" w:rsidRDefault="006F4F61" w:rsidP="00E47EF3">
      <w:pPr>
        <w:spacing w:after="0" w:line="240" w:lineRule="auto"/>
        <w:jc w:val="center"/>
        <w:rPr>
          <w:rFonts w:ascii="GalanoGrotesque-Medium" w:eastAsia="Times New Roman" w:hAnsi="GalanoGrotesque-Medium" w:cs="Arial"/>
          <w:sz w:val="24"/>
          <w:szCs w:val="24"/>
          <w:lang w:val="es-ES" w:eastAsia="es-ES"/>
        </w:rPr>
        <w:sectPr w:rsidR="00E47EF3" w:rsidSect="006F4F61">
          <w:footnotePr>
            <w:numStart w:val="4"/>
          </w:footnotePr>
          <w:pgSz w:w="12240" w:h="15840"/>
          <w:pgMar w:top="1418" w:right="1134" w:bottom="1418" w:left="1134" w:header="709" w:footer="709" w:gutter="0"/>
          <w:cols w:space="567"/>
          <w:docGrid w:linePitch="360"/>
        </w:sectPr>
      </w:pPr>
      <w:r>
        <w:rPr>
          <w:rFonts w:ascii="GalanoGrotesque-Medium" w:eastAsia="Times New Roman" w:hAnsi="GalanoGrotesque-Medium" w:cs="Arial"/>
          <w:noProof/>
          <w:sz w:val="24"/>
          <w:szCs w:val="24"/>
          <w:lang w:val="es-ES" w:eastAsia="es-ES"/>
        </w:rPr>
        <w:lastRenderedPageBreak/>
        <w:drawing>
          <wp:anchor distT="0" distB="0" distL="114300" distR="114300" simplePos="0" relativeHeight="251811328" behindDoc="0" locked="0" layoutInCell="1" allowOverlap="1" wp14:anchorId="05AFA464" wp14:editId="3E4254D0">
            <wp:simplePos x="0" y="0"/>
            <wp:positionH relativeFrom="page">
              <wp:align>right</wp:align>
            </wp:positionH>
            <wp:positionV relativeFrom="paragraph">
              <wp:posOffset>-1112520</wp:posOffset>
            </wp:positionV>
            <wp:extent cx="7752209" cy="10034649"/>
            <wp:effectExtent l="0" t="0" r="1270" b="5080"/>
            <wp:wrapNone/>
            <wp:docPr id="59409" name="Imagen 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9" name="Tema-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752209" cy="10034649"/>
                    </a:xfrm>
                    <a:prstGeom prst="rect">
                      <a:avLst/>
                    </a:prstGeom>
                  </pic:spPr>
                </pic:pic>
              </a:graphicData>
            </a:graphic>
            <wp14:sizeRelH relativeFrom="margin">
              <wp14:pctWidth>0</wp14:pctWidth>
            </wp14:sizeRelH>
            <wp14:sizeRelV relativeFrom="margin">
              <wp14:pctHeight>0</wp14:pctHeight>
            </wp14:sizeRelV>
          </wp:anchor>
        </w:drawing>
      </w:r>
    </w:p>
    <w:p w14:paraId="7EECA4B1" w14:textId="77777777" w:rsidR="00E47EF3" w:rsidRPr="00E8470B" w:rsidRDefault="00E47EF3" w:rsidP="00E8470B">
      <w:pPr>
        <w:rPr>
          <w:rFonts w:ascii="GalanoGrotesque-Medium" w:eastAsia="Times New Roman" w:hAnsi="GalanoGrotesque-Medium" w:cs="Arial"/>
          <w:sz w:val="24"/>
          <w:szCs w:val="24"/>
          <w:lang w:val="es-ES" w:eastAsia="es-ES"/>
        </w:rPr>
      </w:pPr>
    </w:p>
    <w:p w14:paraId="577714CF" w14:textId="77777777" w:rsidR="00E47EF3" w:rsidRDefault="00E47EF3" w:rsidP="00E47EF3">
      <w:pPr>
        <w:rPr>
          <w:rFonts w:ascii="GalanoGrotesque-Medium" w:eastAsia="Times New Roman" w:hAnsi="GalanoGrotesque-Medium" w:cs="Arial"/>
          <w:sz w:val="24"/>
          <w:szCs w:val="24"/>
          <w:lang w:val="es-ES" w:eastAsia="es-ES"/>
        </w:rPr>
        <w:sectPr w:rsidR="00E47EF3" w:rsidSect="00E47EF3">
          <w:footnotePr>
            <w:numStart w:val="4"/>
          </w:footnotePr>
          <w:pgSz w:w="12240" w:h="15840"/>
          <w:pgMar w:top="1418" w:right="1134" w:bottom="1418" w:left="1134" w:header="709" w:footer="709" w:gutter="0"/>
          <w:cols w:space="567"/>
          <w:docGrid w:linePitch="360"/>
        </w:sectPr>
      </w:pPr>
    </w:p>
    <w:p w14:paraId="7F440956" w14:textId="00DBF489" w:rsidR="00E8470B" w:rsidRDefault="00CE466A" w:rsidP="00A74451">
      <w:pPr>
        <w:pStyle w:val="Ttulo1"/>
        <w:spacing w:before="0" w:after="200" w:line="280" w:lineRule="exact"/>
        <w:ind w:left="709"/>
        <w:rPr>
          <w:rFonts w:ascii="GalanoGrotesque-Bold" w:hAnsi="GalanoGrotesque-Bold" w:cs="GalanoGrotesque-Bold"/>
          <w:b w:val="0"/>
          <w:bCs w:val="0"/>
          <w:color w:val="414142"/>
          <w:sz w:val="28"/>
          <w:szCs w:val="28"/>
        </w:rPr>
      </w:pPr>
      <w:bookmarkStart w:id="19" w:name="_Toc458015642"/>
      <w:r>
        <w:rPr>
          <w:rFonts w:ascii="GalanoGrotesque-Bold" w:hAnsi="GalanoGrotesque-Bold" w:cs="GalanoGrotesque-Bold"/>
          <w:b w:val="0"/>
          <w:bCs w:val="0"/>
          <w:noProof/>
          <w:color w:val="414142"/>
          <w:sz w:val="28"/>
          <w:szCs w:val="28"/>
        </w:rPr>
        <w:lastRenderedPageBreak/>
        <w:drawing>
          <wp:anchor distT="0" distB="0" distL="114300" distR="114300" simplePos="0" relativeHeight="251812352" behindDoc="0" locked="0" layoutInCell="1" allowOverlap="1" wp14:anchorId="11BC8A27" wp14:editId="090CC4CD">
            <wp:simplePos x="0" y="0"/>
            <wp:positionH relativeFrom="column">
              <wp:posOffset>-368776</wp:posOffset>
            </wp:positionH>
            <wp:positionV relativeFrom="paragraph">
              <wp:posOffset>1905</wp:posOffset>
            </wp:positionV>
            <wp:extent cx="792956" cy="485775"/>
            <wp:effectExtent l="0" t="0" r="7620" b="0"/>
            <wp:wrapNone/>
            <wp:docPr id="59410" name="Imagen 5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94560" cy="486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CE1">
        <w:rPr>
          <w:rFonts w:ascii="GalanoGrotesque-Bold" w:hAnsi="GalanoGrotesque-Bold" w:cs="GalanoGrotesque-Bold"/>
          <w:b w:val="0"/>
          <w:bCs w:val="0"/>
          <w:color w:val="414142"/>
          <w:sz w:val="28"/>
          <w:szCs w:val="28"/>
        </w:rPr>
        <w:t>Innovación, Productividad</w:t>
      </w:r>
      <w:r w:rsidR="00A74451">
        <w:rPr>
          <w:rFonts w:ascii="GalanoGrotesque-Bold" w:hAnsi="GalanoGrotesque-Bold" w:cs="GalanoGrotesque-Bold"/>
          <w:b w:val="0"/>
          <w:bCs w:val="0"/>
          <w:color w:val="414142"/>
          <w:sz w:val="28"/>
          <w:szCs w:val="28"/>
        </w:rPr>
        <w:t xml:space="preserve"> </w:t>
      </w:r>
      <w:r w:rsidR="000E6CE1">
        <w:rPr>
          <w:rFonts w:ascii="GalanoGrotesque-Bold" w:hAnsi="GalanoGrotesque-Bold" w:cs="GalanoGrotesque-Bold"/>
          <w:b w:val="0"/>
          <w:bCs w:val="0"/>
          <w:color w:val="414142"/>
          <w:sz w:val="28"/>
          <w:szCs w:val="28"/>
        </w:rPr>
        <w:t>y Competitividad</w:t>
      </w:r>
      <w:bookmarkEnd w:id="19"/>
    </w:p>
    <w:p w14:paraId="70272299" w14:textId="77777777" w:rsidR="000E6CE1" w:rsidRPr="00E47EF3" w:rsidRDefault="000E6CE1" w:rsidP="000E6CE1">
      <w:pPr>
        <w:keepNext/>
        <w:spacing w:after="0" w:line="240" w:lineRule="exact"/>
        <w:ind w:left="708"/>
        <w:outlineLvl w:val="0"/>
        <w:rPr>
          <w:rFonts w:ascii="GalanoGrotesque-Medium" w:eastAsia="Times New Roman" w:hAnsi="GalanoGrotesque-Medium" w:cs="Arial"/>
          <w:b/>
          <w:bCs/>
          <w:kern w:val="32"/>
          <w:sz w:val="32"/>
          <w:szCs w:val="32"/>
          <w:lang w:val="es-ES" w:eastAsia="es-ES"/>
        </w:rPr>
      </w:pPr>
    </w:p>
    <w:p w14:paraId="28673940" w14:textId="77777777" w:rsidR="00E47EF3" w:rsidRDefault="00E47EF3" w:rsidP="00CE466A">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La innovación es un elemento fundamental para aumentar la productividad y mejorar la competitividad de los países. Mayores niveles de rendimiento del trabajo terminan generando más ingresos y empleo, y conducen a mayores ritmos de crecimiento de bienes y servicios, tanto en el mercado interno como en los mercados internacionales. </w:t>
      </w:r>
    </w:p>
    <w:p w14:paraId="1B0C14DC" w14:textId="77777777" w:rsidR="00E47EF3" w:rsidRDefault="00E47EF3" w:rsidP="00CE466A">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Sin embargo, la producción ya no puede seguir basándose sólo en costos bajos de insumos y mano de obra, sino también en la obtención de bienes y servicios de alto valor agregado, apoyándose en un amplio proceso de innovación para lograr mayores niveles de competitividad nacional e internacional. </w:t>
      </w:r>
    </w:p>
    <w:p w14:paraId="3988EFC6" w14:textId="77777777" w:rsidR="00E47EF3" w:rsidRDefault="00E47EF3" w:rsidP="00CE466A">
      <w:pPr>
        <w:spacing w:afterLines="100"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Por tanto, la innovación debe servir para elevar la productividad y mejorar la competitividad de las empresas. El camino para mantener un ritmo continuado de ganancias de productividad por persona empleada se logra mediante la utilización de más y mejores medios de elaboración, la innovación de tecnologías y formas organizativas más eficientes.</w:t>
      </w:r>
    </w:p>
    <w:p w14:paraId="55634D14" w14:textId="77777777" w:rsidR="00E47EF3" w:rsidRDefault="00E47EF3" w:rsidP="00CE466A">
      <w:pPr>
        <w:spacing w:afterLines="100"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Además, esa productividad por persona depende de la formación de los trabajadores y de su habilidad para utilizar los procesos e integrarse en una organización eficiente. De tal manera que la calidad del capital humano de un país es garantía de una auténtica innovación y de su transformación en mejoras de productividad y competitividad internacional.</w:t>
      </w:r>
    </w:p>
    <w:p w14:paraId="1DFDD3A7" w14:textId="4FD1E6C4" w:rsidR="00E013CD" w:rsidRDefault="00E47EF3" w:rsidP="00CE466A">
      <w:pPr>
        <w:spacing w:afterLines="100"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De esta manera, la investigación, el desarrollo tecnológico y la innovación son requisitos clave para construir un Michoacán productivo, competitivo y moderno. Nuestras universidades, centros de investigación y parques industriales deben seguir siendo apoyados para generar capacidades y coadyuvar a la creación de tecnologías competitivas que nos ayuden a captar mayor inversión y atraer talento.</w:t>
      </w:r>
      <w:r w:rsidR="00CE466A">
        <w:rPr>
          <w:rFonts w:ascii="MyriadPro-Regular" w:hAnsi="MyriadPro-Regular" w:cs="MyriadPro-Regular"/>
          <w:color w:val="414142"/>
          <w:sz w:val="20"/>
          <w:szCs w:val="20"/>
        </w:rPr>
        <w:br w:type="column"/>
      </w:r>
    </w:p>
    <w:p w14:paraId="5D90E369" w14:textId="2DAD5D40" w:rsidR="00DA4FC0" w:rsidRPr="00E013CD" w:rsidRDefault="00DA4FC0" w:rsidP="00E013CD">
      <w:pPr>
        <w:pStyle w:val="Prrafodelista"/>
        <w:numPr>
          <w:ilvl w:val="0"/>
          <w:numId w:val="29"/>
        </w:numPr>
        <w:spacing w:afterLines="100" w:after="240"/>
        <w:ind w:left="426" w:hanging="426"/>
        <w:jc w:val="both"/>
        <w:rPr>
          <w:rFonts w:ascii="MyriadPro-Bold" w:hAnsi="MyriadPro-Bold" w:cs="MyriadPro-Bold"/>
          <w:b/>
          <w:bCs/>
          <w:color w:val="414142"/>
        </w:rPr>
      </w:pPr>
      <w:r w:rsidRPr="00E013CD">
        <w:rPr>
          <w:rFonts w:ascii="MyriadPro-Bold" w:hAnsi="MyriadPro-Bold" w:cs="MyriadPro-Bold"/>
          <w:b/>
          <w:bCs/>
          <w:color w:val="414142"/>
        </w:rPr>
        <w:t>Como nos encontramos</w:t>
      </w:r>
    </w:p>
    <w:p w14:paraId="1A71299C" w14:textId="1741F40C" w:rsidR="00E47EF3" w:rsidRPr="00DA4FC0" w:rsidRDefault="00E47EF3" w:rsidP="00CE466A">
      <w:pPr>
        <w:spacing w:afterLines="100" w:after="240" w:line="240" w:lineRule="auto"/>
        <w:jc w:val="both"/>
        <w:rPr>
          <w:rFonts w:ascii="MyriadPro-Bold" w:hAnsi="MyriadPro-Bold" w:cs="MyriadPro-Bold"/>
          <w:b/>
          <w:bCs/>
          <w:color w:val="414142"/>
          <w:sz w:val="24"/>
          <w:szCs w:val="24"/>
        </w:rPr>
      </w:pPr>
      <w:r w:rsidRPr="00C00F95">
        <w:rPr>
          <w:rFonts w:ascii="MyriadPro-Regular" w:hAnsi="MyriadPro-Regular" w:cs="MyriadPro-Regular"/>
          <w:color w:val="414142"/>
          <w:sz w:val="20"/>
          <w:szCs w:val="20"/>
        </w:rPr>
        <w:t>Michoacán se ubica en el séptimo lugar por el número de unidades económicas establecidas en su territorio (227,818 de poco más de 5 millones en todo el país)</w:t>
      </w:r>
      <w:r w:rsidR="00E013CD">
        <w:rPr>
          <w:rStyle w:val="Refdenotaalpie"/>
          <w:rFonts w:ascii="MyriadPro-Regular" w:hAnsi="MyriadPro-Regular" w:cs="MyriadPro-Regular"/>
          <w:color w:val="414142"/>
          <w:sz w:val="20"/>
          <w:szCs w:val="20"/>
        </w:rPr>
        <w:footnoteReference w:customMarkFollows="1" w:id="9"/>
        <w:t>8</w:t>
      </w:r>
      <w:r w:rsidRPr="00C00F95">
        <w:rPr>
          <w:rFonts w:ascii="MyriadPro-Regular" w:hAnsi="MyriadPro-Regular" w:cs="MyriadPro-Regular"/>
          <w:color w:val="414142"/>
          <w:sz w:val="20"/>
          <w:szCs w:val="20"/>
        </w:rPr>
        <w:t xml:space="preserve">. </w:t>
      </w:r>
    </w:p>
    <w:p w14:paraId="0255FFD2" w14:textId="77777777" w:rsidR="00E47EF3" w:rsidRDefault="00E47EF3" w:rsidP="00CE466A">
      <w:pPr>
        <w:spacing w:afterLines="100"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El Estado cuenta con 710 profesionales adscritos al Sistema Nacional de Investigadores y 23 centros de investigación federales, estatales y universitarios. Hay 7 parques industriales y uno portuario, siete incubadoras de negocios y diversas cámaras y organismos empresariales que dan soporte en infraestructura y experiencia de negocios a nivel local, estatal y municipal.</w:t>
      </w:r>
    </w:p>
    <w:p w14:paraId="3843CCF8" w14:textId="4E8B9909" w:rsidR="003B41FA" w:rsidRDefault="00E47EF3" w:rsidP="00CE466A">
      <w:pPr>
        <w:spacing w:afterLines="100"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Michoacán está generando riqueza y producción sobre todo en el sector primario, sin embargo no está incidiendo en nuevos sectores disruptivos al no agregar valor a través de la innovación. Para incidir en un crecimiento económico productivo y competitivo</w:t>
      </w:r>
      <w:r w:rsidR="003B41FA">
        <w:rPr>
          <w:rFonts w:ascii="MyriadPro-Regular" w:hAnsi="MyriadPro-Regular" w:cs="MyriadPro-Regular"/>
          <w:color w:val="414142"/>
          <w:sz w:val="20"/>
          <w:szCs w:val="20"/>
        </w:rPr>
        <w:t xml:space="preserve"> </w:t>
      </w:r>
      <w:r w:rsidR="003F32DB" w:rsidRPr="00C00F95">
        <w:rPr>
          <w:rFonts w:ascii="MyriadPro-Regular" w:hAnsi="MyriadPro-Regular" w:cs="MyriadPro-Regular"/>
          <w:color w:val="414142"/>
          <w:sz w:val="20"/>
          <w:szCs w:val="20"/>
        </w:rPr>
        <w:t>se requiere generar nuevos productos, servicios y procesos que sean atractivos para el mercado por su calid</w:t>
      </w:r>
      <w:r w:rsidR="003F32DB">
        <w:rPr>
          <w:rFonts w:ascii="MyriadPro-Regular" w:hAnsi="MyriadPro-Regular" w:cs="MyriadPro-Regular"/>
          <w:color w:val="414142"/>
          <w:sz w:val="20"/>
          <w:szCs w:val="20"/>
        </w:rPr>
        <w:t>ad y alto contenido tecnológico.</w:t>
      </w:r>
    </w:p>
    <w:p w14:paraId="1C1B09FC" w14:textId="77777777" w:rsidR="003B41FA" w:rsidRPr="00CE466A" w:rsidRDefault="003B41FA" w:rsidP="00CE466A">
      <w:pPr>
        <w:spacing w:after="0" w:line="180" w:lineRule="exact"/>
        <w:jc w:val="center"/>
        <w:rPr>
          <w:rFonts w:ascii="GalanoGrotesque-Medium" w:hAnsi="GalanoGrotesque-Medium" w:cs="Arial"/>
          <w:b/>
          <w:sz w:val="16"/>
        </w:rPr>
      </w:pPr>
      <w:r w:rsidRPr="00CE466A">
        <w:rPr>
          <w:rFonts w:ascii="GalanoGrotesque-Medium" w:hAnsi="GalanoGrotesque-Medium" w:cs="Arial"/>
          <w:b/>
          <w:sz w:val="16"/>
        </w:rPr>
        <w:t>Tabla 6.1</w:t>
      </w:r>
    </w:p>
    <w:p w14:paraId="545AC264" w14:textId="77777777" w:rsidR="003B41FA" w:rsidRDefault="003B41FA" w:rsidP="00CE466A">
      <w:pPr>
        <w:spacing w:after="0" w:line="180" w:lineRule="exact"/>
        <w:jc w:val="center"/>
        <w:rPr>
          <w:rFonts w:ascii="GalanoGrotesque-Medium" w:hAnsi="GalanoGrotesque-Medium" w:cs="Arial"/>
        </w:rPr>
      </w:pPr>
      <w:r w:rsidRPr="00CE466A">
        <w:rPr>
          <w:rFonts w:ascii="GalanoGrotesque-Medium" w:hAnsi="GalanoGrotesque-Medium" w:cs="Arial"/>
          <w:sz w:val="16"/>
        </w:rPr>
        <w:t>Indicadores de Innovación</w:t>
      </w:r>
    </w:p>
    <w:p w14:paraId="38E058DC" w14:textId="77777777" w:rsidR="003B41FA" w:rsidRPr="00FB2431" w:rsidRDefault="003B41FA" w:rsidP="003B41FA">
      <w:pPr>
        <w:spacing w:after="0" w:line="200" w:lineRule="exact"/>
        <w:jc w:val="center"/>
        <w:rPr>
          <w:rFonts w:ascii="GalanoGrotesque-Medium" w:hAnsi="GalanoGrotesque-Medium" w:cs="Arial"/>
        </w:rPr>
      </w:pPr>
    </w:p>
    <w:tbl>
      <w:tblPr>
        <w:tblW w:w="5105" w:type="dxa"/>
        <w:tblInd w:w="-10" w:type="dxa"/>
        <w:tblLayout w:type="fixed"/>
        <w:tblCellMar>
          <w:left w:w="70" w:type="dxa"/>
          <w:right w:w="70" w:type="dxa"/>
        </w:tblCellMar>
        <w:tblLook w:val="04A0" w:firstRow="1" w:lastRow="0" w:firstColumn="1" w:lastColumn="0" w:noHBand="0" w:noVBand="1"/>
      </w:tblPr>
      <w:tblGrid>
        <w:gridCol w:w="993"/>
        <w:gridCol w:w="426"/>
        <w:gridCol w:w="284"/>
        <w:gridCol w:w="709"/>
        <w:gridCol w:w="567"/>
        <w:gridCol w:w="425"/>
        <w:gridCol w:w="425"/>
        <w:gridCol w:w="425"/>
        <w:gridCol w:w="425"/>
        <w:gridCol w:w="426"/>
      </w:tblGrid>
      <w:tr w:rsidR="00613958" w:rsidRPr="00613958" w14:paraId="6493007F" w14:textId="77777777" w:rsidTr="00613958">
        <w:trPr>
          <w:trHeight w:val="270"/>
        </w:trPr>
        <w:tc>
          <w:tcPr>
            <w:tcW w:w="993" w:type="dxa"/>
            <w:tcBorders>
              <w:top w:val="single" w:sz="8" w:space="0" w:color="auto"/>
              <w:left w:val="single" w:sz="8" w:space="0" w:color="auto"/>
              <w:bottom w:val="nil"/>
              <w:right w:val="single" w:sz="8" w:space="0" w:color="auto"/>
            </w:tcBorders>
            <w:shd w:val="clear" w:color="000000" w:fill="808080"/>
            <w:noWrap/>
            <w:vAlign w:val="center"/>
            <w:hideMark/>
          </w:tcPr>
          <w:p w14:paraId="11BDC44B" w14:textId="77777777" w:rsidR="00613958" w:rsidRPr="00613958" w:rsidRDefault="00613958" w:rsidP="00613958">
            <w:pPr>
              <w:spacing w:after="0" w:line="120" w:lineRule="exact"/>
              <w:jc w:val="center"/>
              <w:rPr>
                <w:rFonts w:ascii="GalanoGrotesque-Medium" w:hAnsi="GalanoGrotesque-Medium"/>
                <w:b/>
                <w:bCs/>
                <w:color w:val="FFFFFF"/>
                <w:sz w:val="10"/>
                <w:szCs w:val="10"/>
                <w:lang w:eastAsia="es-MX"/>
              </w:rPr>
            </w:pPr>
            <w:r w:rsidRPr="00613958">
              <w:rPr>
                <w:rFonts w:ascii="GalanoGrotesque-Medium" w:hAnsi="GalanoGrotesque-Medium"/>
                <w:b/>
                <w:bCs/>
                <w:color w:val="FFFFFF"/>
                <w:sz w:val="10"/>
                <w:szCs w:val="10"/>
                <w:lang w:eastAsia="es-MX"/>
              </w:rPr>
              <w:t>Indicador</w:t>
            </w:r>
          </w:p>
        </w:tc>
        <w:tc>
          <w:tcPr>
            <w:tcW w:w="426" w:type="dxa"/>
            <w:tcBorders>
              <w:top w:val="single" w:sz="8" w:space="0" w:color="auto"/>
              <w:left w:val="nil"/>
              <w:bottom w:val="nil"/>
              <w:right w:val="single" w:sz="8" w:space="0" w:color="auto"/>
            </w:tcBorders>
            <w:shd w:val="clear" w:color="000000" w:fill="808080"/>
            <w:noWrap/>
            <w:vAlign w:val="center"/>
            <w:hideMark/>
          </w:tcPr>
          <w:p w14:paraId="382038F4" w14:textId="77777777" w:rsidR="00613958" w:rsidRPr="00613958" w:rsidRDefault="00613958" w:rsidP="00613958">
            <w:pPr>
              <w:spacing w:after="0" w:line="120" w:lineRule="exact"/>
              <w:jc w:val="center"/>
              <w:rPr>
                <w:rFonts w:ascii="GalanoGrotesque-Medium" w:hAnsi="GalanoGrotesque-Medium"/>
                <w:b/>
                <w:bCs/>
                <w:color w:val="FFFFFF"/>
                <w:sz w:val="10"/>
                <w:szCs w:val="10"/>
                <w:lang w:eastAsia="es-MX"/>
              </w:rPr>
            </w:pPr>
            <w:r w:rsidRPr="00613958">
              <w:rPr>
                <w:rFonts w:ascii="GalanoGrotesque-Medium" w:hAnsi="GalanoGrotesque-Medium"/>
                <w:b/>
                <w:bCs/>
                <w:color w:val="FFFFFF"/>
                <w:sz w:val="10"/>
                <w:szCs w:val="10"/>
                <w:lang w:eastAsia="es-MX"/>
              </w:rPr>
              <w:t>Fuente</w:t>
            </w:r>
          </w:p>
        </w:tc>
        <w:tc>
          <w:tcPr>
            <w:tcW w:w="284" w:type="dxa"/>
            <w:tcBorders>
              <w:top w:val="single" w:sz="8" w:space="0" w:color="auto"/>
              <w:left w:val="nil"/>
              <w:bottom w:val="nil"/>
              <w:right w:val="single" w:sz="8" w:space="0" w:color="auto"/>
            </w:tcBorders>
            <w:shd w:val="clear" w:color="000000" w:fill="808080"/>
            <w:noWrap/>
            <w:vAlign w:val="center"/>
            <w:hideMark/>
          </w:tcPr>
          <w:p w14:paraId="4735BBF6" w14:textId="77777777" w:rsidR="00613958" w:rsidRPr="00613958" w:rsidRDefault="00613958" w:rsidP="00613958">
            <w:pPr>
              <w:spacing w:after="0" w:line="120" w:lineRule="exact"/>
              <w:jc w:val="center"/>
              <w:rPr>
                <w:rFonts w:ascii="GalanoGrotesque-Medium" w:hAnsi="GalanoGrotesque-Medium"/>
                <w:b/>
                <w:bCs/>
                <w:color w:val="FFFFFF"/>
                <w:sz w:val="10"/>
                <w:szCs w:val="10"/>
                <w:lang w:eastAsia="es-MX"/>
              </w:rPr>
            </w:pPr>
            <w:proofErr w:type="spellStart"/>
            <w:r w:rsidRPr="00613958">
              <w:rPr>
                <w:rFonts w:ascii="GalanoGrotesque-Medium" w:hAnsi="GalanoGrotesque-Medium"/>
                <w:b/>
                <w:bCs/>
                <w:color w:val="FFFFFF"/>
                <w:sz w:val="10"/>
                <w:szCs w:val="10"/>
                <w:lang w:eastAsia="es-MX"/>
              </w:rPr>
              <w:t>Rk</w:t>
            </w:r>
            <w:proofErr w:type="spellEnd"/>
          </w:p>
        </w:tc>
        <w:tc>
          <w:tcPr>
            <w:tcW w:w="709" w:type="dxa"/>
            <w:tcBorders>
              <w:top w:val="single" w:sz="8" w:space="0" w:color="auto"/>
              <w:left w:val="nil"/>
              <w:bottom w:val="nil"/>
              <w:right w:val="single" w:sz="8" w:space="0" w:color="auto"/>
            </w:tcBorders>
            <w:shd w:val="clear" w:color="000000" w:fill="808080"/>
            <w:noWrap/>
            <w:vAlign w:val="center"/>
            <w:hideMark/>
          </w:tcPr>
          <w:p w14:paraId="7378A59B" w14:textId="77777777" w:rsidR="00613958" w:rsidRPr="00613958" w:rsidRDefault="00613958" w:rsidP="00613958">
            <w:pPr>
              <w:spacing w:after="0" w:line="120" w:lineRule="exact"/>
              <w:jc w:val="center"/>
              <w:rPr>
                <w:rFonts w:ascii="GalanoGrotesque-Medium" w:hAnsi="GalanoGrotesque-Medium"/>
                <w:b/>
                <w:bCs/>
                <w:color w:val="FFFFFF"/>
                <w:sz w:val="10"/>
                <w:szCs w:val="10"/>
                <w:lang w:eastAsia="es-MX"/>
              </w:rPr>
            </w:pPr>
            <w:r w:rsidRPr="00613958">
              <w:rPr>
                <w:rFonts w:ascii="GalanoGrotesque-Medium" w:hAnsi="GalanoGrotesque-Medium"/>
                <w:b/>
                <w:bCs/>
                <w:color w:val="FFFFFF"/>
                <w:sz w:val="10"/>
                <w:szCs w:val="10"/>
                <w:lang w:eastAsia="es-MX"/>
              </w:rPr>
              <w:t>Media Nacional</w:t>
            </w:r>
          </w:p>
        </w:tc>
        <w:tc>
          <w:tcPr>
            <w:tcW w:w="567" w:type="dxa"/>
            <w:tcBorders>
              <w:top w:val="single" w:sz="8" w:space="0" w:color="auto"/>
              <w:left w:val="nil"/>
              <w:bottom w:val="single" w:sz="8" w:space="0" w:color="auto"/>
              <w:right w:val="single" w:sz="8" w:space="0" w:color="auto"/>
            </w:tcBorders>
            <w:shd w:val="clear" w:color="000000" w:fill="808080"/>
            <w:vAlign w:val="center"/>
            <w:hideMark/>
          </w:tcPr>
          <w:p w14:paraId="767611F5" w14:textId="77777777" w:rsidR="00613958" w:rsidRPr="00613958" w:rsidRDefault="00613958" w:rsidP="00613958">
            <w:pPr>
              <w:spacing w:after="0" w:line="120" w:lineRule="exact"/>
              <w:jc w:val="center"/>
              <w:rPr>
                <w:rFonts w:ascii="GalanoGrotesque-Medium" w:hAnsi="GalanoGrotesque-Medium"/>
                <w:b/>
                <w:bCs/>
                <w:color w:val="FFFFFF"/>
                <w:sz w:val="10"/>
                <w:szCs w:val="10"/>
                <w:lang w:eastAsia="es-MX"/>
              </w:rPr>
            </w:pPr>
            <w:r w:rsidRPr="00613958">
              <w:rPr>
                <w:rFonts w:ascii="GalanoGrotesque-Medium" w:hAnsi="GalanoGrotesque-Medium"/>
                <w:b/>
                <w:bCs/>
                <w:color w:val="FFFFFF"/>
                <w:sz w:val="10"/>
                <w:szCs w:val="10"/>
                <w:lang w:eastAsia="es-MX"/>
              </w:rPr>
              <w:t>Unidad</w:t>
            </w:r>
          </w:p>
        </w:tc>
        <w:tc>
          <w:tcPr>
            <w:tcW w:w="425" w:type="dxa"/>
            <w:tcBorders>
              <w:top w:val="single" w:sz="8" w:space="0" w:color="auto"/>
              <w:left w:val="nil"/>
              <w:bottom w:val="single" w:sz="8" w:space="0" w:color="auto"/>
              <w:right w:val="single" w:sz="8" w:space="0" w:color="auto"/>
            </w:tcBorders>
            <w:shd w:val="clear" w:color="000000" w:fill="808080"/>
            <w:noWrap/>
            <w:vAlign w:val="center"/>
            <w:hideMark/>
          </w:tcPr>
          <w:p w14:paraId="2A9BDE83" w14:textId="77777777" w:rsidR="00613958" w:rsidRPr="00613958" w:rsidRDefault="00613958" w:rsidP="00613958">
            <w:pPr>
              <w:spacing w:after="0" w:line="120" w:lineRule="exact"/>
              <w:jc w:val="center"/>
              <w:rPr>
                <w:rFonts w:ascii="GalanoGrotesque-Medium" w:hAnsi="GalanoGrotesque-Medium"/>
                <w:b/>
                <w:bCs/>
                <w:color w:val="FFFFFF"/>
                <w:sz w:val="10"/>
                <w:szCs w:val="10"/>
                <w:lang w:eastAsia="es-MX"/>
              </w:rPr>
            </w:pPr>
            <w:r w:rsidRPr="00613958">
              <w:rPr>
                <w:rFonts w:ascii="GalanoGrotesque-Medium" w:hAnsi="GalanoGrotesque-Medium"/>
                <w:b/>
                <w:bCs/>
                <w:color w:val="FFFFFF"/>
                <w:sz w:val="10"/>
                <w:szCs w:val="10"/>
                <w:lang w:eastAsia="es-MX"/>
              </w:rPr>
              <w:t>2010</w:t>
            </w:r>
          </w:p>
        </w:tc>
        <w:tc>
          <w:tcPr>
            <w:tcW w:w="425" w:type="dxa"/>
            <w:tcBorders>
              <w:top w:val="single" w:sz="8" w:space="0" w:color="auto"/>
              <w:left w:val="nil"/>
              <w:bottom w:val="single" w:sz="8" w:space="0" w:color="auto"/>
              <w:right w:val="single" w:sz="8" w:space="0" w:color="auto"/>
            </w:tcBorders>
            <w:shd w:val="clear" w:color="000000" w:fill="808080"/>
            <w:noWrap/>
            <w:vAlign w:val="center"/>
            <w:hideMark/>
          </w:tcPr>
          <w:p w14:paraId="38B420D5" w14:textId="77777777" w:rsidR="00613958" w:rsidRPr="00613958" w:rsidRDefault="00613958" w:rsidP="00613958">
            <w:pPr>
              <w:spacing w:after="0" w:line="120" w:lineRule="exact"/>
              <w:jc w:val="center"/>
              <w:rPr>
                <w:rFonts w:ascii="GalanoGrotesque-Medium" w:hAnsi="GalanoGrotesque-Medium"/>
                <w:b/>
                <w:bCs/>
                <w:color w:val="FFFFFF"/>
                <w:sz w:val="10"/>
                <w:szCs w:val="10"/>
                <w:lang w:eastAsia="es-MX"/>
              </w:rPr>
            </w:pPr>
            <w:r w:rsidRPr="00613958">
              <w:rPr>
                <w:rFonts w:ascii="GalanoGrotesque-Medium" w:hAnsi="GalanoGrotesque-Medium"/>
                <w:b/>
                <w:bCs/>
                <w:color w:val="FFFFFF"/>
                <w:sz w:val="10"/>
                <w:szCs w:val="10"/>
                <w:lang w:eastAsia="es-MX"/>
              </w:rPr>
              <w:t>2011</w:t>
            </w:r>
          </w:p>
        </w:tc>
        <w:tc>
          <w:tcPr>
            <w:tcW w:w="425" w:type="dxa"/>
            <w:tcBorders>
              <w:top w:val="single" w:sz="8" w:space="0" w:color="auto"/>
              <w:left w:val="nil"/>
              <w:bottom w:val="single" w:sz="8" w:space="0" w:color="auto"/>
              <w:right w:val="single" w:sz="8" w:space="0" w:color="auto"/>
            </w:tcBorders>
            <w:shd w:val="clear" w:color="000000" w:fill="808080"/>
            <w:noWrap/>
            <w:vAlign w:val="center"/>
            <w:hideMark/>
          </w:tcPr>
          <w:p w14:paraId="715C4BAA" w14:textId="77777777" w:rsidR="00613958" w:rsidRPr="00613958" w:rsidRDefault="00613958" w:rsidP="00613958">
            <w:pPr>
              <w:spacing w:after="0" w:line="120" w:lineRule="exact"/>
              <w:jc w:val="center"/>
              <w:rPr>
                <w:rFonts w:ascii="GalanoGrotesque-Medium" w:hAnsi="GalanoGrotesque-Medium"/>
                <w:b/>
                <w:bCs/>
                <w:color w:val="FFFFFF"/>
                <w:sz w:val="10"/>
                <w:szCs w:val="10"/>
                <w:lang w:eastAsia="es-MX"/>
              </w:rPr>
            </w:pPr>
            <w:r w:rsidRPr="00613958">
              <w:rPr>
                <w:rFonts w:ascii="GalanoGrotesque-Medium" w:hAnsi="GalanoGrotesque-Medium"/>
                <w:b/>
                <w:bCs/>
                <w:color w:val="FFFFFF"/>
                <w:sz w:val="10"/>
                <w:szCs w:val="10"/>
                <w:lang w:eastAsia="es-MX"/>
              </w:rPr>
              <w:t>2012</w:t>
            </w:r>
          </w:p>
        </w:tc>
        <w:tc>
          <w:tcPr>
            <w:tcW w:w="425" w:type="dxa"/>
            <w:tcBorders>
              <w:top w:val="single" w:sz="8" w:space="0" w:color="auto"/>
              <w:left w:val="nil"/>
              <w:bottom w:val="single" w:sz="8" w:space="0" w:color="auto"/>
              <w:right w:val="single" w:sz="8" w:space="0" w:color="auto"/>
            </w:tcBorders>
            <w:shd w:val="clear" w:color="000000" w:fill="808080"/>
            <w:noWrap/>
            <w:vAlign w:val="center"/>
            <w:hideMark/>
          </w:tcPr>
          <w:p w14:paraId="7CCFB31D" w14:textId="77777777" w:rsidR="00613958" w:rsidRPr="00613958" w:rsidRDefault="00613958" w:rsidP="00613958">
            <w:pPr>
              <w:spacing w:after="0" w:line="120" w:lineRule="exact"/>
              <w:jc w:val="center"/>
              <w:rPr>
                <w:rFonts w:ascii="GalanoGrotesque-Medium" w:hAnsi="GalanoGrotesque-Medium"/>
                <w:b/>
                <w:bCs/>
                <w:color w:val="FFFFFF"/>
                <w:sz w:val="10"/>
                <w:szCs w:val="10"/>
                <w:lang w:eastAsia="es-MX"/>
              </w:rPr>
            </w:pPr>
            <w:r w:rsidRPr="00613958">
              <w:rPr>
                <w:rFonts w:ascii="GalanoGrotesque-Medium" w:hAnsi="GalanoGrotesque-Medium"/>
                <w:b/>
                <w:bCs/>
                <w:color w:val="FFFFFF"/>
                <w:sz w:val="10"/>
                <w:szCs w:val="10"/>
                <w:lang w:eastAsia="es-MX"/>
              </w:rPr>
              <w:t>2013</w:t>
            </w:r>
          </w:p>
        </w:tc>
        <w:tc>
          <w:tcPr>
            <w:tcW w:w="426" w:type="dxa"/>
            <w:tcBorders>
              <w:top w:val="single" w:sz="8" w:space="0" w:color="auto"/>
              <w:left w:val="nil"/>
              <w:bottom w:val="single" w:sz="8" w:space="0" w:color="auto"/>
              <w:right w:val="single" w:sz="8" w:space="0" w:color="auto"/>
            </w:tcBorders>
            <w:shd w:val="clear" w:color="000000" w:fill="808080"/>
            <w:noWrap/>
            <w:vAlign w:val="center"/>
            <w:hideMark/>
          </w:tcPr>
          <w:p w14:paraId="47175134" w14:textId="77777777" w:rsidR="00613958" w:rsidRPr="00613958" w:rsidRDefault="00613958" w:rsidP="00613958">
            <w:pPr>
              <w:spacing w:after="0" w:line="120" w:lineRule="exact"/>
              <w:jc w:val="center"/>
              <w:rPr>
                <w:rFonts w:ascii="GalanoGrotesque-Medium" w:hAnsi="GalanoGrotesque-Medium"/>
                <w:b/>
                <w:bCs/>
                <w:color w:val="FFFFFF"/>
                <w:sz w:val="10"/>
                <w:szCs w:val="10"/>
                <w:lang w:eastAsia="es-MX"/>
              </w:rPr>
            </w:pPr>
            <w:r w:rsidRPr="00613958">
              <w:rPr>
                <w:rFonts w:ascii="GalanoGrotesque-Medium" w:hAnsi="GalanoGrotesque-Medium"/>
                <w:b/>
                <w:bCs/>
                <w:color w:val="FFFFFF"/>
                <w:sz w:val="10"/>
                <w:szCs w:val="10"/>
                <w:lang w:eastAsia="es-MX"/>
              </w:rPr>
              <w:t>2014</w:t>
            </w:r>
          </w:p>
        </w:tc>
      </w:tr>
      <w:tr w:rsidR="00613958" w:rsidRPr="00613958" w14:paraId="4146CB13" w14:textId="77777777" w:rsidTr="00613958">
        <w:trPr>
          <w:trHeight w:val="525"/>
        </w:trPr>
        <w:tc>
          <w:tcPr>
            <w:tcW w:w="993"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7686E259" w14:textId="77777777" w:rsidR="00613958" w:rsidRPr="00613958" w:rsidRDefault="00613958" w:rsidP="00613958">
            <w:pPr>
              <w:spacing w:after="0" w:line="120" w:lineRule="exact"/>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 xml:space="preserve">Ranking Nacional de Ciencia, Tecnología e Innovación </w:t>
            </w:r>
          </w:p>
        </w:tc>
        <w:tc>
          <w:tcPr>
            <w:tcW w:w="426" w:type="dxa"/>
            <w:tcBorders>
              <w:top w:val="single" w:sz="8" w:space="0" w:color="auto"/>
              <w:left w:val="nil"/>
              <w:bottom w:val="single" w:sz="8" w:space="0" w:color="auto"/>
              <w:right w:val="nil"/>
            </w:tcBorders>
            <w:shd w:val="clear" w:color="000000" w:fill="C9C9C9"/>
            <w:noWrap/>
            <w:vAlign w:val="center"/>
            <w:hideMark/>
          </w:tcPr>
          <w:p w14:paraId="2FA664D9"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FCCT</w:t>
            </w:r>
          </w:p>
        </w:tc>
        <w:tc>
          <w:tcPr>
            <w:tcW w:w="28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1D779DB2"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25</w:t>
            </w:r>
          </w:p>
        </w:tc>
        <w:tc>
          <w:tcPr>
            <w:tcW w:w="709" w:type="dxa"/>
            <w:tcBorders>
              <w:top w:val="single" w:sz="8" w:space="0" w:color="auto"/>
              <w:left w:val="nil"/>
              <w:bottom w:val="single" w:sz="8" w:space="0" w:color="auto"/>
              <w:right w:val="single" w:sz="4" w:space="0" w:color="auto"/>
            </w:tcBorders>
            <w:shd w:val="clear" w:color="000000" w:fill="C9C9C9"/>
            <w:noWrap/>
            <w:vAlign w:val="center"/>
            <w:hideMark/>
          </w:tcPr>
          <w:p w14:paraId="10E9665F"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-0.15</w:t>
            </w:r>
          </w:p>
        </w:tc>
        <w:tc>
          <w:tcPr>
            <w:tcW w:w="567" w:type="dxa"/>
            <w:tcBorders>
              <w:top w:val="single" w:sz="8" w:space="0" w:color="auto"/>
              <w:left w:val="single" w:sz="4" w:space="0" w:color="auto"/>
              <w:bottom w:val="single" w:sz="8" w:space="0" w:color="auto"/>
              <w:right w:val="single" w:sz="4" w:space="0" w:color="auto"/>
            </w:tcBorders>
            <w:shd w:val="clear" w:color="000000" w:fill="C9C9C9"/>
            <w:vAlign w:val="center"/>
            <w:hideMark/>
          </w:tcPr>
          <w:p w14:paraId="65090088"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Índice     (-1,1)</w:t>
            </w:r>
          </w:p>
        </w:tc>
        <w:tc>
          <w:tcPr>
            <w:tcW w:w="425" w:type="dxa"/>
            <w:tcBorders>
              <w:top w:val="single" w:sz="8" w:space="0" w:color="auto"/>
              <w:left w:val="single" w:sz="4" w:space="0" w:color="auto"/>
              <w:bottom w:val="single" w:sz="8" w:space="0" w:color="auto"/>
              <w:right w:val="single" w:sz="4" w:space="0" w:color="auto"/>
            </w:tcBorders>
            <w:shd w:val="clear" w:color="000000" w:fill="C9C9C9"/>
            <w:noWrap/>
            <w:vAlign w:val="center"/>
            <w:hideMark/>
          </w:tcPr>
          <w:p w14:paraId="25666030"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-0.13</w:t>
            </w:r>
          </w:p>
        </w:tc>
        <w:tc>
          <w:tcPr>
            <w:tcW w:w="425" w:type="dxa"/>
            <w:tcBorders>
              <w:top w:val="nil"/>
              <w:left w:val="single" w:sz="4" w:space="0" w:color="auto"/>
              <w:bottom w:val="single" w:sz="8" w:space="0" w:color="auto"/>
              <w:right w:val="single" w:sz="8" w:space="0" w:color="auto"/>
            </w:tcBorders>
            <w:shd w:val="clear" w:color="000000" w:fill="C9C9C9"/>
            <w:noWrap/>
            <w:vAlign w:val="center"/>
            <w:hideMark/>
          </w:tcPr>
          <w:p w14:paraId="6384D1CD"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w:t>
            </w:r>
          </w:p>
        </w:tc>
        <w:tc>
          <w:tcPr>
            <w:tcW w:w="425" w:type="dxa"/>
            <w:tcBorders>
              <w:top w:val="nil"/>
              <w:left w:val="nil"/>
              <w:bottom w:val="single" w:sz="8" w:space="0" w:color="auto"/>
              <w:right w:val="single" w:sz="8" w:space="0" w:color="auto"/>
            </w:tcBorders>
            <w:shd w:val="clear" w:color="000000" w:fill="C9C9C9"/>
            <w:noWrap/>
            <w:vAlign w:val="center"/>
            <w:hideMark/>
          </w:tcPr>
          <w:p w14:paraId="7971806F"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w:t>
            </w:r>
          </w:p>
        </w:tc>
        <w:tc>
          <w:tcPr>
            <w:tcW w:w="425" w:type="dxa"/>
            <w:tcBorders>
              <w:top w:val="nil"/>
              <w:left w:val="nil"/>
              <w:bottom w:val="single" w:sz="8" w:space="0" w:color="auto"/>
              <w:right w:val="single" w:sz="8" w:space="0" w:color="auto"/>
            </w:tcBorders>
            <w:shd w:val="clear" w:color="000000" w:fill="C9C9C9"/>
            <w:noWrap/>
            <w:vAlign w:val="center"/>
            <w:hideMark/>
          </w:tcPr>
          <w:p w14:paraId="12590FCC"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-0.55</w:t>
            </w:r>
          </w:p>
        </w:tc>
        <w:tc>
          <w:tcPr>
            <w:tcW w:w="426" w:type="dxa"/>
            <w:tcBorders>
              <w:top w:val="nil"/>
              <w:left w:val="nil"/>
              <w:bottom w:val="single" w:sz="8" w:space="0" w:color="auto"/>
              <w:right w:val="single" w:sz="8" w:space="0" w:color="auto"/>
            </w:tcBorders>
            <w:shd w:val="clear" w:color="000000" w:fill="C9C9C9"/>
            <w:noWrap/>
            <w:vAlign w:val="center"/>
            <w:hideMark/>
          </w:tcPr>
          <w:p w14:paraId="7DBFC71E"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w:t>
            </w:r>
          </w:p>
        </w:tc>
      </w:tr>
      <w:tr w:rsidR="00613958" w:rsidRPr="00613958" w14:paraId="2B6FD283" w14:textId="77777777" w:rsidTr="00613958">
        <w:trPr>
          <w:trHeight w:val="780"/>
        </w:trPr>
        <w:tc>
          <w:tcPr>
            <w:tcW w:w="993" w:type="dxa"/>
            <w:tcBorders>
              <w:top w:val="nil"/>
              <w:left w:val="single" w:sz="8" w:space="0" w:color="auto"/>
              <w:bottom w:val="single" w:sz="8" w:space="0" w:color="auto"/>
              <w:right w:val="single" w:sz="8" w:space="0" w:color="auto"/>
            </w:tcBorders>
            <w:shd w:val="clear" w:color="000000" w:fill="EDEDED"/>
            <w:vAlign w:val="center"/>
            <w:hideMark/>
          </w:tcPr>
          <w:p w14:paraId="53E9776F" w14:textId="77777777" w:rsidR="00613958" w:rsidRPr="00613958" w:rsidRDefault="00613958" w:rsidP="00613958">
            <w:pPr>
              <w:spacing w:after="0" w:line="120" w:lineRule="exact"/>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Innovación en los sectores económicos (Subíndice Competitividad)</w:t>
            </w:r>
          </w:p>
        </w:tc>
        <w:tc>
          <w:tcPr>
            <w:tcW w:w="426" w:type="dxa"/>
            <w:tcBorders>
              <w:top w:val="nil"/>
              <w:left w:val="nil"/>
              <w:bottom w:val="single" w:sz="8" w:space="0" w:color="auto"/>
              <w:right w:val="nil"/>
            </w:tcBorders>
            <w:shd w:val="clear" w:color="000000" w:fill="EDEDED"/>
            <w:noWrap/>
            <w:vAlign w:val="center"/>
            <w:hideMark/>
          </w:tcPr>
          <w:p w14:paraId="3E97CDDE"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IMCO</w:t>
            </w:r>
          </w:p>
        </w:tc>
        <w:tc>
          <w:tcPr>
            <w:tcW w:w="284" w:type="dxa"/>
            <w:tcBorders>
              <w:top w:val="nil"/>
              <w:left w:val="single" w:sz="8" w:space="0" w:color="auto"/>
              <w:bottom w:val="single" w:sz="8" w:space="0" w:color="auto"/>
              <w:right w:val="single" w:sz="8" w:space="0" w:color="auto"/>
            </w:tcBorders>
            <w:shd w:val="clear" w:color="000000" w:fill="EDEDED"/>
            <w:noWrap/>
            <w:vAlign w:val="center"/>
            <w:hideMark/>
          </w:tcPr>
          <w:p w14:paraId="60C190BE"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27</w:t>
            </w:r>
          </w:p>
        </w:tc>
        <w:tc>
          <w:tcPr>
            <w:tcW w:w="709" w:type="dxa"/>
            <w:tcBorders>
              <w:top w:val="nil"/>
              <w:left w:val="nil"/>
              <w:bottom w:val="single" w:sz="8" w:space="0" w:color="auto"/>
              <w:right w:val="single" w:sz="4" w:space="0" w:color="auto"/>
            </w:tcBorders>
            <w:shd w:val="clear" w:color="000000" w:fill="EDEDED"/>
            <w:noWrap/>
            <w:vAlign w:val="center"/>
            <w:hideMark/>
          </w:tcPr>
          <w:p w14:paraId="7CDAB3B8"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Calibri" w:hAnsi="Calibri" w:cs="Calibri"/>
                <w:color w:val="000000"/>
                <w:sz w:val="10"/>
                <w:szCs w:val="10"/>
                <w:lang w:eastAsia="es-MX"/>
              </w:rPr>
              <w:t> </w:t>
            </w:r>
          </w:p>
        </w:tc>
        <w:tc>
          <w:tcPr>
            <w:tcW w:w="567" w:type="dxa"/>
            <w:tcBorders>
              <w:top w:val="single" w:sz="8" w:space="0" w:color="auto"/>
              <w:left w:val="single" w:sz="4" w:space="0" w:color="auto"/>
              <w:bottom w:val="single" w:sz="8" w:space="0" w:color="auto"/>
              <w:right w:val="single" w:sz="4" w:space="0" w:color="auto"/>
            </w:tcBorders>
            <w:shd w:val="clear" w:color="000000" w:fill="EDEDED"/>
            <w:vAlign w:val="center"/>
            <w:hideMark/>
          </w:tcPr>
          <w:p w14:paraId="6D2D8CDB"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Índice</w:t>
            </w:r>
          </w:p>
        </w:tc>
        <w:tc>
          <w:tcPr>
            <w:tcW w:w="425" w:type="dxa"/>
            <w:tcBorders>
              <w:top w:val="single" w:sz="8" w:space="0" w:color="auto"/>
              <w:left w:val="single" w:sz="4" w:space="0" w:color="auto"/>
              <w:bottom w:val="single" w:sz="8" w:space="0" w:color="auto"/>
              <w:right w:val="single" w:sz="4" w:space="0" w:color="auto"/>
            </w:tcBorders>
            <w:shd w:val="clear" w:color="000000" w:fill="EDEDED"/>
            <w:noWrap/>
            <w:vAlign w:val="center"/>
            <w:hideMark/>
          </w:tcPr>
          <w:p w14:paraId="0781A6DF"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23.10</w:t>
            </w:r>
          </w:p>
        </w:tc>
        <w:tc>
          <w:tcPr>
            <w:tcW w:w="425" w:type="dxa"/>
            <w:tcBorders>
              <w:top w:val="nil"/>
              <w:left w:val="single" w:sz="4" w:space="0" w:color="auto"/>
              <w:bottom w:val="single" w:sz="8" w:space="0" w:color="auto"/>
              <w:right w:val="single" w:sz="8" w:space="0" w:color="auto"/>
            </w:tcBorders>
            <w:shd w:val="clear" w:color="000000" w:fill="EDEDED"/>
            <w:noWrap/>
            <w:vAlign w:val="center"/>
            <w:hideMark/>
          </w:tcPr>
          <w:p w14:paraId="13EB6F7D"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19.8</w:t>
            </w:r>
          </w:p>
        </w:tc>
        <w:tc>
          <w:tcPr>
            <w:tcW w:w="425" w:type="dxa"/>
            <w:tcBorders>
              <w:top w:val="nil"/>
              <w:left w:val="nil"/>
              <w:bottom w:val="single" w:sz="8" w:space="0" w:color="auto"/>
              <w:right w:val="single" w:sz="8" w:space="0" w:color="auto"/>
            </w:tcBorders>
            <w:shd w:val="clear" w:color="000000" w:fill="EDEDED"/>
            <w:noWrap/>
            <w:vAlign w:val="center"/>
            <w:hideMark/>
          </w:tcPr>
          <w:p w14:paraId="4A20C3E9"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18.20</w:t>
            </w:r>
          </w:p>
        </w:tc>
        <w:tc>
          <w:tcPr>
            <w:tcW w:w="425" w:type="dxa"/>
            <w:tcBorders>
              <w:top w:val="nil"/>
              <w:left w:val="nil"/>
              <w:bottom w:val="single" w:sz="8" w:space="0" w:color="auto"/>
              <w:right w:val="single" w:sz="8" w:space="0" w:color="auto"/>
            </w:tcBorders>
            <w:shd w:val="clear" w:color="000000" w:fill="EDEDED"/>
            <w:noWrap/>
            <w:vAlign w:val="center"/>
            <w:hideMark/>
          </w:tcPr>
          <w:p w14:paraId="66088FA5"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w:t>
            </w:r>
          </w:p>
        </w:tc>
        <w:tc>
          <w:tcPr>
            <w:tcW w:w="426" w:type="dxa"/>
            <w:tcBorders>
              <w:top w:val="nil"/>
              <w:left w:val="nil"/>
              <w:bottom w:val="single" w:sz="8" w:space="0" w:color="auto"/>
              <w:right w:val="single" w:sz="8" w:space="0" w:color="auto"/>
            </w:tcBorders>
            <w:shd w:val="clear" w:color="000000" w:fill="EDEDED"/>
            <w:noWrap/>
            <w:vAlign w:val="center"/>
            <w:hideMark/>
          </w:tcPr>
          <w:p w14:paraId="717B8A26"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w:t>
            </w:r>
          </w:p>
        </w:tc>
      </w:tr>
      <w:tr w:rsidR="00613958" w:rsidRPr="00613958" w14:paraId="62225365" w14:textId="77777777" w:rsidTr="00613958">
        <w:trPr>
          <w:trHeight w:val="165"/>
        </w:trPr>
        <w:tc>
          <w:tcPr>
            <w:tcW w:w="993" w:type="dxa"/>
            <w:tcBorders>
              <w:top w:val="nil"/>
              <w:left w:val="single" w:sz="8" w:space="0" w:color="auto"/>
              <w:bottom w:val="single" w:sz="8" w:space="0" w:color="auto"/>
              <w:right w:val="single" w:sz="8" w:space="0" w:color="auto"/>
            </w:tcBorders>
            <w:shd w:val="clear" w:color="000000" w:fill="C9C9C9"/>
            <w:vAlign w:val="center"/>
            <w:hideMark/>
          </w:tcPr>
          <w:p w14:paraId="7BEBA50E" w14:textId="77777777" w:rsidR="00613958" w:rsidRPr="00613958" w:rsidRDefault="00613958" w:rsidP="00613958">
            <w:pPr>
              <w:spacing w:after="0" w:line="120" w:lineRule="exact"/>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Exportaciones de mercancías</w:t>
            </w:r>
          </w:p>
        </w:tc>
        <w:tc>
          <w:tcPr>
            <w:tcW w:w="426" w:type="dxa"/>
            <w:tcBorders>
              <w:top w:val="nil"/>
              <w:left w:val="nil"/>
              <w:bottom w:val="single" w:sz="8" w:space="0" w:color="auto"/>
              <w:right w:val="nil"/>
            </w:tcBorders>
            <w:shd w:val="clear" w:color="000000" w:fill="C9C9C9"/>
            <w:noWrap/>
            <w:vAlign w:val="center"/>
            <w:hideMark/>
          </w:tcPr>
          <w:p w14:paraId="1A281681"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INEGI</w:t>
            </w:r>
          </w:p>
        </w:tc>
        <w:tc>
          <w:tcPr>
            <w:tcW w:w="284" w:type="dxa"/>
            <w:tcBorders>
              <w:top w:val="nil"/>
              <w:left w:val="single" w:sz="8" w:space="0" w:color="auto"/>
              <w:bottom w:val="single" w:sz="8" w:space="0" w:color="auto"/>
              <w:right w:val="single" w:sz="8" w:space="0" w:color="auto"/>
            </w:tcBorders>
            <w:shd w:val="clear" w:color="000000" w:fill="C9C9C9"/>
            <w:noWrap/>
            <w:vAlign w:val="center"/>
            <w:hideMark/>
          </w:tcPr>
          <w:p w14:paraId="0EF415A1"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23</w:t>
            </w:r>
          </w:p>
        </w:tc>
        <w:tc>
          <w:tcPr>
            <w:tcW w:w="709" w:type="dxa"/>
            <w:tcBorders>
              <w:top w:val="nil"/>
              <w:left w:val="nil"/>
              <w:bottom w:val="single" w:sz="8" w:space="0" w:color="auto"/>
              <w:right w:val="single" w:sz="4" w:space="0" w:color="auto"/>
            </w:tcBorders>
            <w:shd w:val="clear" w:color="000000" w:fill="C9C9C9"/>
            <w:noWrap/>
            <w:vAlign w:val="center"/>
            <w:hideMark/>
          </w:tcPr>
          <w:p w14:paraId="44EE6EE5"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10.29</w:t>
            </w:r>
          </w:p>
        </w:tc>
        <w:tc>
          <w:tcPr>
            <w:tcW w:w="567" w:type="dxa"/>
            <w:tcBorders>
              <w:top w:val="single" w:sz="8" w:space="0" w:color="auto"/>
              <w:left w:val="single" w:sz="4" w:space="0" w:color="auto"/>
              <w:bottom w:val="single" w:sz="8" w:space="0" w:color="auto"/>
              <w:right w:val="single" w:sz="4" w:space="0" w:color="auto"/>
            </w:tcBorders>
            <w:shd w:val="clear" w:color="000000" w:fill="C9C9C9"/>
            <w:vAlign w:val="center"/>
            <w:hideMark/>
          </w:tcPr>
          <w:p w14:paraId="0A2123E2"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Miles de Millones de dólares</w:t>
            </w:r>
          </w:p>
        </w:tc>
        <w:tc>
          <w:tcPr>
            <w:tcW w:w="425" w:type="dxa"/>
            <w:tcBorders>
              <w:top w:val="single" w:sz="8" w:space="0" w:color="auto"/>
              <w:left w:val="single" w:sz="4" w:space="0" w:color="auto"/>
              <w:bottom w:val="single" w:sz="8" w:space="0" w:color="auto"/>
              <w:right w:val="single" w:sz="4" w:space="0" w:color="auto"/>
            </w:tcBorders>
            <w:shd w:val="clear" w:color="000000" w:fill="C9C9C9"/>
            <w:noWrap/>
            <w:vAlign w:val="center"/>
            <w:hideMark/>
          </w:tcPr>
          <w:p w14:paraId="346A3CAA"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1.18</w:t>
            </w:r>
          </w:p>
        </w:tc>
        <w:tc>
          <w:tcPr>
            <w:tcW w:w="425" w:type="dxa"/>
            <w:tcBorders>
              <w:top w:val="nil"/>
              <w:left w:val="single" w:sz="4" w:space="0" w:color="auto"/>
              <w:bottom w:val="single" w:sz="8" w:space="0" w:color="auto"/>
              <w:right w:val="single" w:sz="8" w:space="0" w:color="auto"/>
            </w:tcBorders>
            <w:shd w:val="clear" w:color="000000" w:fill="C9C9C9"/>
            <w:noWrap/>
            <w:vAlign w:val="center"/>
            <w:hideMark/>
          </w:tcPr>
          <w:p w14:paraId="6AA61BFF"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1.14</w:t>
            </w:r>
          </w:p>
        </w:tc>
        <w:tc>
          <w:tcPr>
            <w:tcW w:w="425" w:type="dxa"/>
            <w:tcBorders>
              <w:top w:val="nil"/>
              <w:left w:val="nil"/>
              <w:bottom w:val="single" w:sz="8" w:space="0" w:color="auto"/>
              <w:right w:val="single" w:sz="8" w:space="0" w:color="auto"/>
            </w:tcBorders>
            <w:shd w:val="clear" w:color="000000" w:fill="C9C9C9"/>
            <w:noWrap/>
            <w:vAlign w:val="center"/>
            <w:hideMark/>
          </w:tcPr>
          <w:p w14:paraId="018D0877"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1.25</w:t>
            </w:r>
          </w:p>
        </w:tc>
        <w:tc>
          <w:tcPr>
            <w:tcW w:w="425" w:type="dxa"/>
            <w:tcBorders>
              <w:top w:val="nil"/>
              <w:left w:val="nil"/>
              <w:bottom w:val="single" w:sz="8" w:space="0" w:color="auto"/>
              <w:right w:val="single" w:sz="8" w:space="0" w:color="auto"/>
            </w:tcBorders>
            <w:shd w:val="clear" w:color="000000" w:fill="C9C9C9"/>
            <w:noWrap/>
            <w:vAlign w:val="center"/>
            <w:hideMark/>
          </w:tcPr>
          <w:p w14:paraId="1A8A7641"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1.53</w:t>
            </w:r>
          </w:p>
        </w:tc>
        <w:tc>
          <w:tcPr>
            <w:tcW w:w="426" w:type="dxa"/>
            <w:tcBorders>
              <w:top w:val="nil"/>
              <w:left w:val="nil"/>
              <w:bottom w:val="single" w:sz="8" w:space="0" w:color="auto"/>
              <w:right w:val="single" w:sz="8" w:space="0" w:color="auto"/>
            </w:tcBorders>
            <w:shd w:val="clear" w:color="000000" w:fill="C9C9C9"/>
            <w:noWrap/>
            <w:vAlign w:val="center"/>
            <w:hideMark/>
          </w:tcPr>
          <w:p w14:paraId="4CE757DB"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1.10</w:t>
            </w:r>
          </w:p>
        </w:tc>
      </w:tr>
      <w:tr w:rsidR="00613958" w:rsidRPr="00613958" w14:paraId="6FF1DB24" w14:textId="77777777" w:rsidTr="00613958">
        <w:trPr>
          <w:trHeight w:val="270"/>
        </w:trPr>
        <w:tc>
          <w:tcPr>
            <w:tcW w:w="993" w:type="dxa"/>
            <w:tcBorders>
              <w:top w:val="nil"/>
              <w:left w:val="single" w:sz="8" w:space="0" w:color="auto"/>
              <w:bottom w:val="single" w:sz="8" w:space="0" w:color="auto"/>
              <w:right w:val="single" w:sz="8" w:space="0" w:color="auto"/>
            </w:tcBorders>
            <w:shd w:val="clear" w:color="000000" w:fill="EDEDED"/>
            <w:vAlign w:val="center"/>
            <w:hideMark/>
          </w:tcPr>
          <w:p w14:paraId="59E64253" w14:textId="77777777" w:rsidR="00613958" w:rsidRPr="00613958" w:rsidRDefault="00613958" w:rsidP="00613958">
            <w:pPr>
              <w:spacing w:after="0" w:line="120" w:lineRule="exact"/>
              <w:rPr>
                <w:rFonts w:ascii="GalanoGrotesque-Medium" w:hAnsi="GalanoGrotesque-Medium"/>
                <w:color w:val="000000"/>
                <w:sz w:val="10"/>
                <w:szCs w:val="10"/>
                <w:lang w:eastAsia="es-MX"/>
              </w:rPr>
            </w:pPr>
            <w:proofErr w:type="spellStart"/>
            <w:r w:rsidRPr="00613958">
              <w:rPr>
                <w:rFonts w:ascii="GalanoGrotesque-Medium" w:hAnsi="GalanoGrotesque-Medium"/>
                <w:color w:val="000000"/>
                <w:sz w:val="10"/>
                <w:szCs w:val="10"/>
                <w:lang w:eastAsia="es-MX"/>
              </w:rPr>
              <w:t>Doing</w:t>
            </w:r>
            <w:proofErr w:type="spellEnd"/>
            <w:r w:rsidRPr="00613958">
              <w:rPr>
                <w:rFonts w:ascii="GalanoGrotesque-Medium" w:hAnsi="GalanoGrotesque-Medium"/>
                <w:color w:val="000000"/>
                <w:sz w:val="10"/>
                <w:szCs w:val="10"/>
                <w:lang w:eastAsia="es-MX"/>
              </w:rPr>
              <w:t xml:space="preserve"> </w:t>
            </w:r>
            <w:proofErr w:type="spellStart"/>
            <w:r w:rsidRPr="00613958">
              <w:rPr>
                <w:rFonts w:ascii="GalanoGrotesque-Medium" w:hAnsi="GalanoGrotesque-Medium"/>
                <w:color w:val="000000"/>
                <w:sz w:val="10"/>
                <w:szCs w:val="10"/>
                <w:lang w:eastAsia="es-MX"/>
              </w:rPr>
              <w:t>Bussines</w:t>
            </w:r>
            <w:proofErr w:type="spellEnd"/>
          </w:p>
        </w:tc>
        <w:tc>
          <w:tcPr>
            <w:tcW w:w="426" w:type="dxa"/>
            <w:tcBorders>
              <w:top w:val="nil"/>
              <w:left w:val="nil"/>
              <w:bottom w:val="single" w:sz="8" w:space="0" w:color="auto"/>
              <w:right w:val="single" w:sz="8" w:space="0" w:color="auto"/>
            </w:tcBorders>
            <w:shd w:val="clear" w:color="000000" w:fill="EDEDED"/>
            <w:noWrap/>
            <w:vAlign w:val="center"/>
            <w:hideMark/>
          </w:tcPr>
          <w:p w14:paraId="718B54EC"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Banco Mundial</w:t>
            </w:r>
          </w:p>
        </w:tc>
        <w:tc>
          <w:tcPr>
            <w:tcW w:w="284" w:type="dxa"/>
            <w:tcBorders>
              <w:top w:val="nil"/>
              <w:left w:val="nil"/>
              <w:bottom w:val="single" w:sz="8" w:space="0" w:color="auto"/>
              <w:right w:val="single" w:sz="8" w:space="0" w:color="auto"/>
            </w:tcBorders>
            <w:shd w:val="clear" w:color="000000" w:fill="EDEDED"/>
            <w:noWrap/>
            <w:vAlign w:val="center"/>
            <w:hideMark/>
          </w:tcPr>
          <w:p w14:paraId="0945DBB9"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12</w:t>
            </w:r>
          </w:p>
        </w:tc>
        <w:tc>
          <w:tcPr>
            <w:tcW w:w="709" w:type="dxa"/>
            <w:tcBorders>
              <w:top w:val="nil"/>
              <w:left w:val="nil"/>
              <w:bottom w:val="single" w:sz="8" w:space="0" w:color="auto"/>
              <w:right w:val="single" w:sz="4" w:space="0" w:color="auto"/>
            </w:tcBorders>
            <w:shd w:val="clear" w:color="000000" w:fill="EDEDED"/>
            <w:noWrap/>
            <w:vAlign w:val="center"/>
            <w:hideMark/>
          </w:tcPr>
          <w:p w14:paraId="580AF098"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17</w:t>
            </w:r>
          </w:p>
        </w:tc>
        <w:tc>
          <w:tcPr>
            <w:tcW w:w="567" w:type="dxa"/>
            <w:tcBorders>
              <w:top w:val="single" w:sz="8" w:space="0" w:color="auto"/>
              <w:left w:val="single" w:sz="4" w:space="0" w:color="auto"/>
              <w:bottom w:val="single" w:sz="8" w:space="0" w:color="auto"/>
              <w:right w:val="single" w:sz="4" w:space="0" w:color="auto"/>
            </w:tcBorders>
            <w:shd w:val="clear" w:color="000000" w:fill="EDEDED"/>
            <w:vAlign w:val="center"/>
            <w:hideMark/>
          </w:tcPr>
          <w:p w14:paraId="36BCCD63"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Ranking</w:t>
            </w:r>
          </w:p>
        </w:tc>
        <w:tc>
          <w:tcPr>
            <w:tcW w:w="425" w:type="dxa"/>
            <w:tcBorders>
              <w:top w:val="single" w:sz="8" w:space="0" w:color="auto"/>
              <w:left w:val="single" w:sz="4" w:space="0" w:color="auto"/>
              <w:bottom w:val="single" w:sz="8" w:space="0" w:color="auto"/>
              <w:right w:val="single" w:sz="4" w:space="0" w:color="auto"/>
            </w:tcBorders>
            <w:shd w:val="clear" w:color="000000" w:fill="EDEDED"/>
            <w:noWrap/>
            <w:vAlign w:val="center"/>
            <w:hideMark/>
          </w:tcPr>
          <w:p w14:paraId="04202476"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w:t>
            </w:r>
          </w:p>
        </w:tc>
        <w:tc>
          <w:tcPr>
            <w:tcW w:w="425" w:type="dxa"/>
            <w:tcBorders>
              <w:top w:val="nil"/>
              <w:left w:val="single" w:sz="4" w:space="0" w:color="auto"/>
              <w:bottom w:val="single" w:sz="8" w:space="0" w:color="auto"/>
              <w:right w:val="single" w:sz="8" w:space="0" w:color="auto"/>
            </w:tcBorders>
            <w:shd w:val="clear" w:color="000000" w:fill="EDEDED"/>
            <w:noWrap/>
            <w:vAlign w:val="center"/>
            <w:hideMark/>
          </w:tcPr>
          <w:p w14:paraId="60238002"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8</w:t>
            </w:r>
          </w:p>
        </w:tc>
        <w:tc>
          <w:tcPr>
            <w:tcW w:w="425" w:type="dxa"/>
            <w:tcBorders>
              <w:top w:val="nil"/>
              <w:left w:val="nil"/>
              <w:bottom w:val="single" w:sz="8" w:space="0" w:color="auto"/>
              <w:right w:val="single" w:sz="8" w:space="0" w:color="auto"/>
            </w:tcBorders>
            <w:shd w:val="clear" w:color="000000" w:fill="EDEDED"/>
            <w:noWrap/>
            <w:vAlign w:val="center"/>
            <w:hideMark/>
          </w:tcPr>
          <w:p w14:paraId="4CF2AEF5"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7</w:t>
            </w:r>
          </w:p>
        </w:tc>
        <w:tc>
          <w:tcPr>
            <w:tcW w:w="425" w:type="dxa"/>
            <w:tcBorders>
              <w:top w:val="nil"/>
              <w:left w:val="nil"/>
              <w:bottom w:val="single" w:sz="8" w:space="0" w:color="auto"/>
              <w:right w:val="single" w:sz="8" w:space="0" w:color="auto"/>
            </w:tcBorders>
            <w:shd w:val="clear" w:color="000000" w:fill="EDEDED"/>
            <w:noWrap/>
            <w:vAlign w:val="center"/>
            <w:hideMark/>
          </w:tcPr>
          <w:p w14:paraId="152ECBDE"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12</w:t>
            </w:r>
          </w:p>
        </w:tc>
        <w:tc>
          <w:tcPr>
            <w:tcW w:w="426" w:type="dxa"/>
            <w:tcBorders>
              <w:top w:val="nil"/>
              <w:left w:val="nil"/>
              <w:bottom w:val="single" w:sz="8" w:space="0" w:color="auto"/>
              <w:right w:val="single" w:sz="8" w:space="0" w:color="auto"/>
            </w:tcBorders>
            <w:shd w:val="clear" w:color="000000" w:fill="EDEDED"/>
            <w:noWrap/>
            <w:vAlign w:val="center"/>
            <w:hideMark/>
          </w:tcPr>
          <w:p w14:paraId="3F4FB57A" w14:textId="77777777" w:rsidR="00613958" w:rsidRPr="00613958" w:rsidRDefault="00613958" w:rsidP="00613958">
            <w:pPr>
              <w:spacing w:after="0" w:line="120" w:lineRule="exact"/>
              <w:jc w:val="center"/>
              <w:rPr>
                <w:rFonts w:ascii="GalanoGrotesque-Medium" w:hAnsi="GalanoGrotesque-Medium"/>
                <w:color w:val="000000"/>
                <w:sz w:val="10"/>
                <w:szCs w:val="10"/>
                <w:lang w:eastAsia="es-MX"/>
              </w:rPr>
            </w:pPr>
            <w:r w:rsidRPr="00613958">
              <w:rPr>
                <w:rFonts w:ascii="GalanoGrotesque-Medium" w:hAnsi="GalanoGrotesque-Medium"/>
                <w:color w:val="000000"/>
                <w:sz w:val="10"/>
                <w:szCs w:val="10"/>
                <w:lang w:eastAsia="es-MX"/>
              </w:rPr>
              <w:t>-</w:t>
            </w:r>
          </w:p>
        </w:tc>
      </w:tr>
    </w:tbl>
    <w:p w14:paraId="2C70DB68" w14:textId="77777777" w:rsidR="003B41FA" w:rsidRDefault="003B41FA" w:rsidP="003B41FA">
      <w:pPr>
        <w:spacing w:after="0"/>
        <w:jc w:val="both"/>
        <w:rPr>
          <w:rFonts w:ascii="MyriadPro-Regular" w:hAnsi="MyriadPro-Regular" w:cs="MyriadPro-Regular"/>
          <w:color w:val="414142"/>
          <w:sz w:val="20"/>
          <w:szCs w:val="20"/>
        </w:rPr>
      </w:pPr>
    </w:p>
    <w:p w14:paraId="45470D93" w14:textId="791F0F25" w:rsidR="002F4917" w:rsidRDefault="002F4917" w:rsidP="00613958">
      <w:pPr>
        <w:spacing w:after="160" w:line="240" w:lineRule="auto"/>
        <w:jc w:val="both"/>
        <w:rPr>
          <w:rFonts w:ascii="MyriadPro-Regular" w:hAnsi="MyriadPro-Regular" w:cs="MyriadPro-Regular"/>
          <w:color w:val="414142"/>
          <w:sz w:val="20"/>
          <w:szCs w:val="20"/>
        </w:rPr>
      </w:pPr>
      <w:r w:rsidRPr="002F4917">
        <w:rPr>
          <w:rFonts w:ascii="MyriadPro-Regular" w:hAnsi="MyriadPro-Regular" w:cs="MyriadPro-Regular"/>
          <w:color w:val="414142"/>
          <w:sz w:val="20"/>
          <w:szCs w:val="20"/>
        </w:rPr>
        <w:t>El Ranking Nacional de Ciencia Tecnología e Innovación</w:t>
      </w:r>
      <w:r w:rsidR="00E013CD">
        <w:rPr>
          <w:rStyle w:val="Refdenotaalpie"/>
          <w:rFonts w:ascii="MyriadPro-Regular" w:hAnsi="MyriadPro-Regular" w:cs="MyriadPro-Regular"/>
          <w:color w:val="414142"/>
          <w:sz w:val="20"/>
          <w:szCs w:val="20"/>
        </w:rPr>
        <w:footnoteReference w:customMarkFollows="1" w:id="10"/>
        <w:t>9</w:t>
      </w:r>
      <w:r w:rsidRPr="002F4917">
        <w:rPr>
          <w:rFonts w:ascii="MyriadPro-Regular" w:hAnsi="MyriadPro-Regular" w:cs="MyriadPro-Regular"/>
          <w:color w:val="414142"/>
          <w:sz w:val="20"/>
          <w:szCs w:val="20"/>
        </w:rPr>
        <w:t xml:space="preserve"> ubica a Michoacán en el lugar 25 a nivel nacional en 2013. La Gráfica 6.1 muestra que la fortaleza del Estado es el componente institucional, el </w:t>
      </w:r>
      <w:r w:rsidRPr="002F4917">
        <w:rPr>
          <w:rFonts w:ascii="MyriadPro-Regular" w:hAnsi="MyriadPro-Regular" w:cs="MyriadPro-Regular"/>
          <w:color w:val="414142"/>
          <w:sz w:val="20"/>
          <w:szCs w:val="20"/>
        </w:rPr>
        <w:lastRenderedPageBreak/>
        <w:t xml:space="preserve">cual refleja la capacidad de gestión, diseño e implementación de políticas públicas de CTI al interior de la entidad. </w:t>
      </w:r>
    </w:p>
    <w:p w14:paraId="51E0A794" w14:textId="77777777" w:rsidR="00CF56CC" w:rsidRPr="00681C42" w:rsidRDefault="00CF56CC" w:rsidP="003F5829">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Por otro lado, existe oportunidad de mejora por lo menos en tres componentes: 1) en el entorno económico y social, que mide las vocaciones y especializaciones de la entidad con indicadores de especialización económica; 2) en la formación de recursos humanos, que contabiliza el potencial en el capital humano calificado de la entidad; y, 3) en la participación de género en la CTI, que evalúa la contrib</w:t>
      </w:r>
      <w:r w:rsidR="00681C42">
        <w:rPr>
          <w:rFonts w:ascii="MyriadPro-Regular" w:hAnsi="MyriadPro-Regular" w:cs="MyriadPro-Regular"/>
          <w:color w:val="414142"/>
          <w:sz w:val="20"/>
          <w:szCs w:val="20"/>
        </w:rPr>
        <w:t>ución de las mujeres en la CTI.</w:t>
      </w:r>
    </w:p>
    <w:p w14:paraId="3289C2A4" w14:textId="77777777" w:rsidR="00CF56CC" w:rsidRPr="003F5829" w:rsidRDefault="00CF56CC" w:rsidP="003F5829">
      <w:pPr>
        <w:widowControl w:val="0"/>
        <w:autoSpaceDE w:val="0"/>
        <w:autoSpaceDN w:val="0"/>
        <w:adjustRightInd w:val="0"/>
        <w:spacing w:after="0" w:line="180" w:lineRule="exact"/>
        <w:jc w:val="center"/>
        <w:rPr>
          <w:rFonts w:ascii="GalanoGrotesque-Medium" w:eastAsia="Times New Roman" w:hAnsi="GalanoGrotesque-Medium" w:cs="Arial"/>
          <w:b/>
          <w:sz w:val="14"/>
          <w:szCs w:val="14"/>
          <w:lang w:val="es-ES" w:eastAsia="es-ES"/>
        </w:rPr>
      </w:pPr>
      <w:r w:rsidRPr="003F5829">
        <w:rPr>
          <w:rFonts w:ascii="GalanoGrotesque-Medium" w:eastAsia="Times New Roman" w:hAnsi="GalanoGrotesque-Medium" w:cs="Arial"/>
          <w:b/>
          <w:sz w:val="14"/>
          <w:szCs w:val="14"/>
          <w:lang w:val="es-ES" w:eastAsia="es-ES"/>
        </w:rPr>
        <w:t>Gráfica 6.1</w:t>
      </w:r>
    </w:p>
    <w:p w14:paraId="69FCDA4D" w14:textId="77777777" w:rsidR="00CF56CC" w:rsidRPr="003F5829" w:rsidRDefault="00CF56CC" w:rsidP="003F5829">
      <w:pPr>
        <w:spacing w:after="160" w:line="180" w:lineRule="exact"/>
        <w:jc w:val="center"/>
        <w:rPr>
          <w:rFonts w:ascii="GalanoGrotesque-Medium" w:hAnsi="GalanoGrotesque-Medium" w:cs="Arial"/>
          <w:sz w:val="14"/>
          <w:szCs w:val="14"/>
        </w:rPr>
      </w:pPr>
      <w:r w:rsidRPr="003F5829">
        <w:rPr>
          <w:rFonts w:ascii="GalanoGrotesque-Medium" w:hAnsi="GalanoGrotesque-Medium" w:cs="Arial"/>
          <w:sz w:val="14"/>
          <w:szCs w:val="14"/>
        </w:rPr>
        <w:t>Ranking Nacional de Ciencia Tecnología e Innovación, 2013</w:t>
      </w:r>
    </w:p>
    <w:p w14:paraId="244FBC2D" w14:textId="77777777" w:rsidR="00CF56CC" w:rsidRPr="00CF56CC" w:rsidRDefault="00CF56CC" w:rsidP="00CF56CC">
      <w:pPr>
        <w:spacing w:after="0"/>
        <w:jc w:val="center"/>
        <w:rPr>
          <w:rFonts w:ascii="GalanoGrotesque-Medium" w:hAnsi="GalanoGrotesque-Medium" w:cs="Arial"/>
          <w:b/>
          <w:sz w:val="24"/>
          <w:szCs w:val="24"/>
        </w:rPr>
      </w:pPr>
      <w:r w:rsidRPr="00CF56CC">
        <w:rPr>
          <w:rFonts w:ascii="GalanoGrotesque-Medium" w:eastAsia="Times New Roman" w:hAnsi="GalanoGrotesque-Medium" w:cs="Times New Roman"/>
          <w:noProof/>
          <w:sz w:val="24"/>
          <w:szCs w:val="24"/>
          <w:lang w:val="es-ES" w:eastAsia="es-ES"/>
        </w:rPr>
        <w:drawing>
          <wp:inline distT="0" distB="0" distL="0" distR="0" wp14:anchorId="49E69CA7" wp14:editId="2F1484A4">
            <wp:extent cx="2926080" cy="2066267"/>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caList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43567" cy="2078616"/>
                    </a:xfrm>
                    <a:prstGeom prst="rect">
                      <a:avLst/>
                    </a:prstGeom>
                  </pic:spPr>
                </pic:pic>
              </a:graphicData>
            </a:graphic>
          </wp:inline>
        </w:drawing>
      </w:r>
    </w:p>
    <w:p w14:paraId="21F2DC06" w14:textId="77777777" w:rsidR="007D432F" w:rsidRDefault="007D432F" w:rsidP="00CF56CC">
      <w:pPr>
        <w:spacing w:after="0"/>
        <w:rPr>
          <w:rFonts w:ascii="MyriadPro-Regular" w:eastAsia="Times New Roman" w:hAnsi="MyriadPro-Regular" w:cs="Arial"/>
          <w:sz w:val="16"/>
          <w:szCs w:val="16"/>
          <w:lang w:val="es-ES" w:eastAsia="es-ES"/>
        </w:rPr>
      </w:pPr>
    </w:p>
    <w:p w14:paraId="7CEF8534" w14:textId="77777777" w:rsidR="007D432F" w:rsidRPr="003F5829" w:rsidRDefault="00CF56CC" w:rsidP="003F5829">
      <w:pPr>
        <w:spacing w:after="160" w:line="180" w:lineRule="exact"/>
        <w:rPr>
          <w:rFonts w:ascii="MyriadPro-Regular" w:eastAsia="Times New Roman" w:hAnsi="MyriadPro-Regular" w:cs="Arial"/>
          <w:sz w:val="14"/>
          <w:szCs w:val="16"/>
          <w:lang w:val="es-ES" w:eastAsia="es-ES"/>
        </w:rPr>
      </w:pPr>
      <w:r w:rsidRPr="003F5829">
        <w:rPr>
          <w:rFonts w:ascii="MyriadPro-Regular" w:eastAsia="Times New Roman" w:hAnsi="MyriadPro-Regular" w:cs="Arial"/>
          <w:sz w:val="14"/>
          <w:szCs w:val="16"/>
          <w:lang w:val="es-ES" w:eastAsia="es-ES"/>
        </w:rPr>
        <w:t xml:space="preserve">Fuente: Elaboración del </w:t>
      </w:r>
      <w:proofErr w:type="spellStart"/>
      <w:r w:rsidRPr="003F5829">
        <w:rPr>
          <w:rFonts w:ascii="MyriadPro-Regular" w:eastAsia="Times New Roman" w:hAnsi="MyriadPro-Regular" w:cs="Arial"/>
          <w:sz w:val="14"/>
          <w:szCs w:val="16"/>
          <w:lang w:val="es-ES" w:eastAsia="es-ES"/>
        </w:rPr>
        <w:t>FCCyT</w:t>
      </w:r>
      <w:proofErr w:type="spellEnd"/>
      <w:r w:rsidRPr="003F5829">
        <w:rPr>
          <w:rFonts w:ascii="MyriadPro-Regular" w:eastAsia="Times New Roman" w:hAnsi="MyriadPro-Regular" w:cs="Arial"/>
          <w:sz w:val="14"/>
          <w:szCs w:val="16"/>
          <w:lang w:val="es-ES" w:eastAsia="es-ES"/>
        </w:rPr>
        <w:t>, Ranking Nacional de Ciencia,</w:t>
      </w:r>
      <w:r w:rsidR="007D432F" w:rsidRPr="003F5829">
        <w:rPr>
          <w:rFonts w:ascii="MyriadPro-Regular" w:eastAsia="Times New Roman" w:hAnsi="MyriadPro-Regular" w:cs="Arial"/>
          <w:sz w:val="14"/>
          <w:szCs w:val="16"/>
          <w:lang w:val="es-ES" w:eastAsia="es-ES"/>
        </w:rPr>
        <w:t xml:space="preserve"> Tecnología e Innovación, 2013.</w:t>
      </w:r>
    </w:p>
    <w:p w14:paraId="0BD6107C" w14:textId="77777777" w:rsidR="00CF56CC" w:rsidRPr="00C00F95" w:rsidRDefault="00CF56CC" w:rsidP="003F5829">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A pesar de que a nivel nacional el indicador se mantuvo estable, Michoacán tuvo una fuerte caída al pasar en 2010 de la posición décima octava a la posición vigésima quinta en 2013 con valores de -0.1276 y -0.55, respectivamente. Este cambio obedece a un retroceso principalmente en el componente institucional y el de inversión en CTI. </w:t>
      </w:r>
    </w:p>
    <w:p w14:paraId="2E430A70" w14:textId="77777777" w:rsidR="00CF56CC" w:rsidRDefault="00CF56CC" w:rsidP="003F5829">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A nivel nacional, las cinco entidades mejor ubicadas en este indicador son la Ciudad de México, Nuevo León, Querétaro, Jalisco y Morelos, mientras que las últimas cinco entidades son Campeche, Guerrero, Oaxaca, Chiapas y Tabasco (Gráfica 6.2).</w:t>
      </w:r>
    </w:p>
    <w:p w14:paraId="5CF436AA" w14:textId="77777777" w:rsidR="00CF56CC" w:rsidRPr="003F5829" w:rsidRDefault="003F5829" w:rsidP="003F5829">
      <w:pPr>
        <w:widowControl w:val="0"/>
        <w:autoSpaceDE w:val="0"/>
        <w:autoSpaceDN w:val="0"/>
        <w:adjustRightInd w:val="0"/>
        <w:spacing w:after="0" w:line="180" w:lineRule="exact"/>
        <w:jc w:val="center"/>
        <w:rPr>
          <w:rFonts w:ascii="GalanoGrotesque-Medium" w:eastAsia="Times New Roman" w:hAnsi="GalanoGrotesque-Medium" w:cs="Arial"/>
          <w:b/>
          <w:sz w:val="14"/>
          <w:szCs w:val="14"/>
          <w:lang w:val="es-ES" w:eastAsia="es-ES"/>
        </w:rPr>
      </w:pPr>
      <w:r>
        <w:rPr>
          <w:rFonts w:ascii="GalanoGrotesque-Medium" w:eastAsia="Times New Roman" w:hAnsi="GalanoGrotesque-Medium" w:cs="Arial"/>
          <w:b/>
          <w:lang w:val="es-ES" w:eastAsia="es-ES"/>
        </w:rPr>
        <w:br w:type="column"/>
      </w:r>
      <w:r w:rsidR="00CF56CC" w:rsidRPr="003F5829">
        <w:rPr>
          <w:rFonts w:ascii="GalanoGrotesque-Medium" w:eastAsia="Times New Roman" w:hAnsi="GalanoGrotesque-Medium" w:cs="Arial"/>
          <w:b/>
          <w:sz w:val="14"/>
          <w:szCs w:val="14"/>
          <w:lang w:val="es-ES" w:eastAsia="es-ES"/>
        </w:rPr>
        <w:lastRenderedPageBreak/>
        <w:t>Gráfica 6.2</w:t>
      </w:r>
    </w:p>
    <w:p w14:paraId="1FE1F8A4" w14:textId="77777777" w:rsidR="00CF56CC" w:rsidRPr="003F5829" w:rsidRDefault="00CF56CC" w:rsidP="003F5829">
      <w:pPr>
        <w:widowControl w:val="0"/>
        <w:autoSpaceDE w:val="0"/>
        <w:autoSpaceDN w:val="0"/>
        <w:adjustRightInd w:val="0"/>
        <w:spacing w:after="160" w:line="180" w:lineRule="exact"/>
        <w:jc w:val="center"/>
        <w:rPr>
          <w:rFonts w:ascii="GalanoGrotesque-Medium" w:eastAsia="Times New Roman" w:hAnsi="GalanoGrotesque-Medium" w:cs="Arial"/>
          <w:b/>
          <w:sz w:val="14"/>
          <w:szCs w:val="14"/>
          <w:lang w:val="es-ES" w:eastAsia="es-ES"/>
        </w:rPr>
      </w:pPr>
      <w:r w:rsidRPr="003F5829">
        <w:rPr>
          <w:rFonts w:ascii="GalanoGrotesque-Medium" w:eastAsia="Times New Roman" w:hAnsi="GalanoGrotesque-Medium" w:cs="Arial"/>
          <w:b/>
          <w:sz w:val="14"/>
          <w:szCs w:val="14"/>
          <w:lang w:val="es-ES" w:eastAsia="es-ES"/>
        </w:rPr>
        <w:t>Ranking Nacional de Ciencia, Tecnología e Innovación, 2013</w:t>
      </w:r>
    </w:p>
    <w:p w14:paraId="3B0C8019" w14:textId="77777777" w:rsidR="00CF56CC" w:rsidRPr="003F5829" w:rsidRDefault="00CF56CC" w:rsidP="00CF56CC">
      <w:pPr>
        <w:jc w:val="center"/>
        <w:rPr>
          <w:rFonts w:ascii="GalanoGrotesque-Medium" w:hAnsi="GalanoGrotesque-Medium" w:cs="Arial"/>
          <w:szCs w:val="24"/>
        </w:rPr>
      </w:pPr>
      <w:r w:rsidRPr="003F5829">
        <w:rPr>
          <w:rFonts w:ascii="GalanoGrotesque-Medium" w:eastAsia="Times New Roman" w:hAnsi="GalanoGrotesque-Medium" w:cs="Arial"/>
          <w:noProof/>
          <w:sz w:val="18"/>
          <w:lang w:val="es-ES" w:eastAsia="es-ES"/>
        </w:rPr>
        <w:drawing>
          <wp:inline distT="0" distB="0" distL="0" distR="0" wp14:anchorId="4131567A" wp14:editId="1CCF6A6D">
            <wp:extent cx="2441692" cy="39147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a 6.3Lista.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58395" cy="3941555"/>
                    </a:xfrm>
                    <a:prstGeom prst="rect">
                      <a:avLst/>
                    </a:prstGeom>
                  </pic:spPr>
                </pic:pic>
              </a:graphicData>
            </a:graphic>
          </wp:inline>
        </w:drawing>
      </w:r>
    </w:p>
    <w:p w14:paraId="699B14B9" w14:textId="77777777" w:rsidR="007D432F" w:rsidRPr="003F5829" w:rsidRDefault="00CF56CC" w:rsidP="003F5829">
      <w:pPr>
        <w:spacing w:after="160" w:line="180" w:lineRule="exact"/>
        <w:rPr>
          <w:rFonts w:ascii="MyriadPro-Regular" w:eastAsia="Times New Roman" w:hAnsi="MyriadPro-Regular" w:cs="Arial"/>
          <w:sz w:val="14"/>
          <w:szCs w:val="16"/>
          <w:lang w:val="es-ES" w:eastAsia="es-ES"/>
        </w:rPr>
      </w:pPr>
      <w:r w:rsidRPr="003F5829">
        <w:rPr>
          <w:rFonts w:ascii="MyriadPro-Regular" w:eastAsia="Times New Roman" w:hAnsi="MyriadPro-Regular" w:cs="Arial"/>
          <w:sz w:val="14"/>
          <w:szCs w:val="16"/>
          <w:lang w:val="es-ES" w:eastAsia="es-ES"/>
        </w:rPr>
        <w:t xml:space="preserve">Fuente: Elaboración del </w:t>
      </w:r>
      <w:proofErr w:type="spellStart"/>
      <w:r w:rsidRPr="003F5829">
        <w:rPr>
          <w:rFonts w:ascii="MyriadPro-Regular" w:eastAsia="Times New Roman" w:hAnsi="MyriadPro-Regular" w:cs="Arial"/>
          <w:sz w:val="14"/>
          <w:szCs w:val="16"/>
          <w:lang w:val="es-ES" w:eastAsia="es-ES"/>
        </w:rPr>
        <w:t>FCCyT</w:t>
      </w:r>
      <w:proofErr w:type="spellEnd"/>
      <w:r w:rsidRPr="003F5829">
        <w:rPr>
          <w:rFonts w:ascii="MyriadPro-Regular" w:eastAsia="Times New Roman" w:hAnsi="MyriadPro-Regular" w:cs="Arial"/>
          <w:sz w:val="14"/>
          <w:szCs w:val="16"/>
          <w:lang w:val="es-ES" w:eastAsia="es-ES"/>
        </w:rPr>
        <w:t>, Ranking Nacional de Ciencia, T</w:t>
      </w:r>
      <w:r w:rsidR="007D432F" w:rsidRPr="003F5829">
        <w:rPr>
          <w:rFonts w:ascii="MyriadPro-Regular" w:eastAsia="Times New Roman" w:hAnsi="MyriadPro-Regular" w:cs="Arial"/>
          <w:sz w:val="14"/>
          <w:szCs w:val="16"/>
          <w:lang w:val="es-ES" w:eastAsia="es-ES"/>
        </w:rPr>
        <w:t>ecnología e Innovación, 2013.</w:t>
      </w:r>
    </w:p>
    <w:p w14:paraId="56AE304B" w14:textId="77777777" w:rsidR="007D432F" w:rsidRDefault="00CF56CC" w:rsidP="003F5829">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El Instituto Mexicano para la Competitividad (IMCO) elabora el Índice de Competitividad Estatal como un subíndice de la Innovación en los Sectores Económicos y mide la capacidad de las empresas mexicanas para competir  con  éxito  en  la  economía  mundial  y  estimular  la  economía  de  las entidades donde se ubican. </w:t>
      </w:r>
    </w:p>
    <w:p w14:paraId="7F4E5E93" w14:textId="77777777" w:rsidR="00CF56CC" w:rsidRPr="00C00F95" w:rsidRDefault="00CF56CC" w:rsidP="003F5829">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La idea subyacente del indicador es que aquellas entidades donde los trabajadores están más capacitados y los salarios son mayores, serán aquellas que se vuelven más atractivas para el talento, lo que a su vez atrae la inversión. Esto es, una entidad con sectores económicos más innovadores es capaz de atraer y retener nuevas inversiones y talento mejor preparado.</w:t>
      </w:r>
    </w:p>
    <w:p w14:paraId="7C8F1E9E" w14:textId="77777777" w:rsidR="003F5829" w:rsidRDefault="003F5829">
      <w:pPr>
        <w:rPr>
          <w:rFonts w:ascii="GalanoGrotesque-Medium" w:eastAsia="Times New Roman" w:hAnsi="GalanoGrotesque-Medium" w:cs="Arial"/>
          <w:b/>
          <w:lang w:val="es-ES" w:eastAsia="es-ES"/>
        </w:rPr>
      </w:pPr>
      <w:r>
        <w:rPr>
          <w:rFonts w:ascii="GalanoGrotesque-Medium" w:eastAsia="Times New Roman" w:hAnsi="GalanoGrotesque-Medium" w:cs="Arial"/>
          <w:b/>
          <w:lang w:val="es-ES" w:eastAsia="es-ES"/>
        </w:rPr>
        <w:br w:type="page"/>
      </w:r>
    </w:p>
    <w:p w14:paraId="19967EEC" w14:textId="77777777" w:rsidR="00CF56CC" w:rsidRPr="00902F72" w:rsidRDefault="00CF56CC" w:rsidP="00902F72">
      <w:pPr>
        <w:widowControl w:val="0"/>
        <w:autoSpaceDE w:val="0"/>
        <w:autoSpaceDN w:val="0"/>
        <w:adjustRightInd w:val="0"/>
        <w:spacing w:after="0" w:line="180" w:lineRule="exact"/>
        <w:jc w:val="center"/>
        <w:rPr>
          <w:rFonts w:ascii="GalanoGrotesque-Medium" w:eastAsia="Times New Roman" w:hAnsi="GalanoGrotesque-Medium" w:cs="Arial"/>
          <w:b/>
          <w:sz w:val="16"/>
          <w:szCs w:val="14"/>
          <w:lang w:val="es-ES" w:eastAsia="es-ES"/>
        </w:rPr>
      </w:pPr>
      <w:r w:rsidRPr="00902F72">
        <w:rPr>
          <w:rFonts w:ascii="GalanoGrotesque-Medium" w:eastAsia="Times New Roman" w:hAnsi="GalanoGrotesque-Medium" w:cs="Arial"/>
          <w:b/>
          <w:sz w:val="16"/>
          <w:szCs w:val="14"/>
          <w:lang w:val="es-ES" w:eastAsia="es-ES"/>
        </w:rPr>
        <w:lastRenderedPageBreak/>
        <w:t>Tabla 6.2</w:t>
      </w:r>
    </w:p>
    <w:p w14:paraId="3D8FF063" w14:textId="77777777" w:rsidR="00CF56CC" w:rsidRPr="00902F72" w:rsidRDefault="00CF56CC" w:rsidP="00902F72">
      <w:pPr>
        <w:widowControl w:val="0"/>
        <w:autoSpaceDE w:val="0"/>
        <w:autoSpaceDN w:val="0"/>
        <w:adjustRightInd w:val="0"/>
        <w:spacing w:after="0" w:line="180" w:lineRule="exact"/>
        <w:jc w:val="center"/>
        <w:rPr>
          <w:rFonts w:ascii="GalanoGrotesque-Medium" w:eastAsia="Times New Roman" w:hAnsi="GalanoGrotesque-Medium" w:cs="Arial"/>
          <w:sz w:val="16"/>
          <w:szCs w:val="14"/>
          <w:lang w:val="es-ES" w:eastAsia="es-ES"/>
        </w:rPr>
      </w:pPr>
      <w:r w:rsidRPr="00902F72">
        <w:rPr>
          <w:rFonts w:ascii="GalanoGrotesque-Medium" w:eastAsia="Times New Roman" w:hAnsi="GalanoGrotesque-Medium" w:cs="Arial"/>
          <w:sz w:val="16"/>
          <w:szCs w:val="14"/>
          <w:lang w:val="es-ES" w:eastAsia="es-ES"/>
        </w:rPr>
        <w:t>Innovación en los Sectores Económicos, 2010-2012</w:t>
      </w:r>
    </w:p>
    <w:p w14:paraId="5605D8D6" w14:textId="77777777" w:rsidR="00563741" w:rsidRPr="00563741" w:rsidRDefault="00563741" w:rsidP="00CF56CC">
      <w:pPr>
        <w:widowControl w:val="0"/>
        <w:autoSpaceDE w:val="0"/>
        <w:autoSpaceDN w:val="0"/>
        <w:adjustRightInd w:val="0"/>
        <w:spacing w:after="0" w:line="240" w:lineRule="atLeast"/>
        <w:jc w:val="center"/>
        <w:rPr>
          <w:rFonts w:ascii="GalanoGrotesque-Medium" w:eastAsia="Times New Roman" w:hAnsi="GalanoGrotesque-Medium" w:cs="Arial"/>
          <w:sz w:val="16"/>
          <w:szCs w:val="16"/>
          <w:lang w:val="es-ES" w:eastAsia="es-ES"/>
        </w:rPr>
      </w:pPr>
    </w:p>
    <w:tbl>
      <w:tblPr>
        <w:tblpPr w:leftFromText="141" w:rightFromText="141" w:vertAnchor="text" w:tblpXSpec="center" w:tblpY="1"/>
        <w:tblOverlap w:val="never"/>
        <w:tblW w:w="4604" w:type="dxa"/>
        <w:tblCellMar>
          <w:left w:w="70" w:type="dxa"/>
          <w:right w:w="70" w:type="dxa"/>
        </w:tblCellMar>
        <w:tblLook w:val="04A0" w:firstRow="1" w:lastRow="0" w:firstColumn="1" w:lastColumn="0" w:noHBand="0" w:noVBand="1"/>
      </w:tblPr>
      <w:tblGrid>
        <w:gridCol w:w="1555"/>
        <w:gridCol w:w="922"/>
        <w:gridCol w:w="993"/>
        <w:gridCol w:w="1134"/>
      </w:tblGrid>
      <w:tr w:rsidR="00CF56CC" w:rsidRPr="00902F72" w14:paraId="7005206A" w14:textId="77777777" w:rsidTr="00902F72">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C5F89" w14:textId="77777777" w:rsidR="00CF56CC" w:rsidRPr="00902F72" w:rsidRDefault="00CF56CC" w:rsidP="00563741">
            <w:pPr>
              <w:spacing w:after="0" w:line="240" w:lineRule="auto"/>
              <w:rPr>
                <w:rFonts w:ascii="GalanoGrotesque-Medium" w:eastAsia="Times New Roman" w:hAnsi="GalanoGrotesque-Medium" w:cs="Times New Roman"/>
                <w:color w:val="000000"/>
                <w:sz w:val="18"/>
                <w:lang w:eastAsia="es-MX"/>
              </w:rPr>
            </w:pPr>
            <w:r w:rsidRPr="00902F72">
              <w:rPr>
                <w:rFonts w:ascii="Calibri" w:eastAsia="Times New Roman" w:hAnsi="Calibri" w:cs="Calibri"/>
                <w:color w:val="000000"/>
                <w:sz w:val="18"/>
                <w:lang w:eastAsia="es-MX"/>
              </w:rPr>
              <w:t> </w:t>
            </w:r>
          </w:p>
        </w:tc>
        <w:tc>
          <w:tcPr>
            <w:tcW w:w="922" w:type="dxa"/>
            <w:tcBorders>
              <w:top w:val="single" w:sz="4" w:space="0" w:color="auto"/>
              <w:left w:val="nil"/>
              <w:bottom w:val="single" w:sz="4" w:space="0" w:color="auto"/>
              <w:right w:val="single" w:sz="4" w:space="0" w:color="auto"/>
            </w:tcBorders>
            <w:shd w:val="clear" w:color="auto" w:fill="auto"/>
            <w:noWrap/>
            <w:vAlign w:val="bottom"/>
            <w:hideMark/>
          </w:tcPr>
          <w:p w14:paraId="27C9E3C9" w14:textId="77777777" w:rsidR="00CF56CC" w:rsidRPr="00902F72" w:rsidRDefault="00CF56CC" w:rsidP="00563741">
            <w:pPr>
              <w:spacing w:after="0" w:line="240" w:lineRule="auto"/>
              <w:jc w:val="right"/>
              <w:rPr>
                <w:rFonts w:ascii="GalanoGrotesque-Medium" w:eastAsia="Times New Roman" w:hAnsi="GalanoGrotesque-Medium" w:cs="Times New Roman"/>
                <w:color w:val="000000"/>
                <w:sz w:val="18"/>
                <w:lang w:eastAsia="es-MX"/>
              </w:rPr>
            </w:pPr>
            <w:r w:rsidRPr="00902F72">
              <w:rPr>
                <w:rFonts w:ascii="GalanoGrotesque-Medium" w:eastAsia="Times New Roman" w:hAnsi="GalanoGrotesque-Medium" w:cs="Times New Roman"/>
                <w:color w:val="000000"/>
                <w:sz w:val="18"/>
                <w:lang w:eastAsia="es-MX"/>
              </w:rPr>
              <w:t>2010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73467C5" w14:textId="77777777" w:rsidR="00CF56CC" w:rsidRPr="00902F72" w:rsidRDefault="00CF56CC" w:rsidP="00563741">
            <w:pPr>
              <w:spacing w:after="0" w:line="240" w:lineRule="auto"/>
              <w:jc w:val="right"/>
              <w:rPr>
                <w:rFonts w:ascii="GalanoGrotesque-Medium" w:eastAsia="Times New Roman" w:hAnsi="GalanoGrotesque-Medium" w:cs="Times New Roman"/>
                <w:color w:val="000000"/>
                <w:sz w:val="18"/>
                <w:lang w:eastAsia="es-MX"/>
              </w:rPr>
            </w:pPr>
            <w:r w:rsidRPr="00902F72">
              <w:rPr>
                <w:rFonts w:ascii="GalanoGrotesque-Medium" w:eastAsia="Times New Roman" w:hAnsi="GalanoGrotesque-Medium" w:cs="Times New Roman"/>
                <w:color w:val="000000"/>
                <w:sz w:val="18"/>
                <w:lang w:eastAsia="es-MX"/>
              </w:rPr>
              <w:t>2011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07DAA91" w14:textId="77777777" w:rsidR="00CF56CC" w:rsidRPr="00902F72" w:rsidRDefault="00CF56CC" w:rsidP="00563741">
            <w:pPr>
              <w:spacing w:after="0" w:line="240" w:lineRule="auto"/>
              <w:jc w:val="right"/>
              <w:rPr>
                <w:rFonts w:ascii="GalanoGrotesque-Medium" w:eastAsia="Times New Roman" w:hAnsi="GalanoGrotesque-Medium" w:cs="Times New Roman"/>
                <w:color w:val="000000"/>
                <w:sz w:val="18"/>
                <w:lang w:eastAsia="es-MX"/>
              </w:rPr>
            </w:pPr>
            <w:r w:rsidRPr="00902F72">
              <w:rPr>
                <w:rFonts w:ascii="GalanoGrotesque-Medium" w:eastAsia="Times New Roman" w:hAnsi="GalanoGrotesque-Medium" w:cs="Times New Roman"/>
                <w:color w:val="000000"/>
                <w:sz w:val="18"/>
                <w:lang w:eastAsia="es-MX"/>
              </w:rPr>
              <w:t>2012</w:t>
            </w:r>
          </w:p>
        </w:tc>
      </w:tr>
      <w:tr w:rsidR="00CF56CC" w:rsidRPr="00902F72" w14:paraId="1B0D89FC" w14:textId="77777777" w:rsidTr="00902F7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FB97501" w14:textId="77777777" w:rsidR="00CF56CC" w:rsidRPr="00902F72" w:rsidRDefault="00CF56CC" w:rsidP="00563741">
            <w:pPr>
              <w:spacing w:after="0" w:line="240" w:lineRule="auto"/>
              <w:rPr>
                <w:rFonts w:ascii="GalanoGrotesque-Medium" w:eastAsia="Times New Roman" w:hAnsi="GalanoGrotesque-Medium" w:cs="Times New Roman"/>
                <w:color w:val="000000"/>
                <w:sz w:val="18"/>
                <w:lang w:eastAsia="es-MX"/>
              </w:rPr>
            </w:pPr>
            <w:r w:rsidRPr="00902F72">
              <w:rPr>
                <w:rFonts w:ascii="GalanoGrotesque-Medium" w:eastAsia="Times New Roman" w:hAnsi="GalanoGrotesque-Medium" w:cs="Times New Roman"/>
                <w:color w:val="000000"/>
                <w:sz w:val="18"/>
                <w:lang w:eastAsia="es-MX"/>
              </w:rPr>
              <w:t xml:space="preserve">Michoacán </w:t>
            </w:r>
          </w:p>
        </w:tc>
        <w:tc>
          <w:tcPr>
            <w:tcW w:w="922" w:type="dxa"/>
            <w:tcBorders>
              <w:top w:val="nil"/>
              <w:left w:val="nil"/>
              <w:bottom w:val="single" w:sz="4" w:space="0" w:color="auto"/>
              <w:right w:val="single" w:sz="4" w:space="0" w:color="auto"/>
            </w:tcBorders>
            <w:shd w:val="clear" w:color="auto" w:fill="auto"/>
            <w:noWrap/>
            <w:vAlign w:val="bottom"/>
            <w:hideMark/>
          </w:tcPr>
          <w:p w14:paraId="58CA54FE" w14:textId="77777777" w:rsidR="00CF56CC" w:rsidRPr="00902F72" w:rsidRDefault="00CF56CC" w:rsidP="00563741">
            <w:pPr>
              <w:spacing w:after="0" w:line="240" w:lineRule="auto"/>
              <w:jc w:val="right"/>
              <w:rPr>
                <w:rFonts w:ascii="GalanoGrotesque-Medium" w:eastAsia="Times New Roman" w:hAnsi="GalanoGrotesque-Medium" w:cs="Times New Roman"/>
                <w:color w:val="000000"/>
                <w:sz w:val="18"/>
                <w:lang w:eastAsia="es-MX"/>
              </w:rPr>
            </w:pPr>
            <w:r w:rsidRPr="00902F72">
              <w:rPr>
                <w:rFonts w:ascii="GalanoGrotesque-Medium" w:eastAsia="Times New Roman" w:hAnsi="GalanoGrotesque-Medium" w:cs="Times New Roman"/>
                <w:color w:val="000000"/>
                <w:sz w:val="18"/>
                <w:lang w:eastAsia="es-MX"/>
              </w:rPr>
              <w:t>23.1</w:t>
            </w:r>
          </w:p>
        </w:tc>
        <w:tc>
          <w:tcPr>
            <w:tcW w:w="993" w:type="dxa"/>
            <w:tcBorders>
              <w:top w:val="nil"/>
              <w:left w:val="nil"/>
              <w:bottom w:val="single" w:sz="4" w:space="0" w:color="auto"/>
              <w:right w:val="single" w:sz="4" w:space="0" w:color="auto"/>
            </w:tcBorders>
            <w:shd w:val="clear" w:color="auto" w:fill="auto"/>
            <w:noWrap/>
            <w:vAlign w:val="bottom"/>
            <w:hideMark/>
          </w:tcPr>
          <w:p w14:paraId="652B85DD" w14:textId="77777777" w:rsidR="00CF56CC" w:rsidRPr="00902F72" w:rsidRDefault="00CF56CC" w:rsidP="00563741">
            <w:pPr>
              <w:spacing w:after="0" w:line="240" w:lineRule="auto"/>
              <w:jc w:val="right"/>
              <w:rPr>
                <w:rFonts w:ascii="GalanoGrotesque-Medium" w:eastAsia="Times New Roman" w:hAnsi="GalanoGrotesque-Medium" w:cs="Times New Roman"/>
                <w:color w:val="000000"/>
                <w:sz w:val="18"/>
                <w:lang w:eastAsia="es-MX"/>
              </w:rPr>
            </w:pPr>
            <w:r w:rsidRPr="00902F72">
              <w:rPr>
                <w:rFonts w:ascii="GalanoGrotesque-Medium" w:eastAsia="Times New Roman" w:hAnsi="GalanoGrotesque-Medium" w:cs="Times New Roman"/>
                <w:color w:val="000000"/>
                <w:sz w:val="18"/>
                <w:lang w:eastAsia="es-MX"/>
              </w:rPr>
              <w:t>19.8</w:t>
            </w:r>
          </w:p>
        </w:tc>
        <w:tc>
          <w:tcPr>
            <w:tcW w:w="1134" w:type="dxa"/>
            <w:tcBorders>
              <w:top w:val="nil"/>
              <w:left w:val="nil"/>
              <w:bottom w:val="single" w:sz="4" w:space="0" w:color="auto"/>
              <w:right w:val="single" w:sz="4" w:space="0" w:color="auto"/>
            </w:tcBorders>
            <w:shd w:val="clear" w:color="auto" w:fill="auto"/>
            <w:noWrap/>
            <w:vAlign w:val="bottom"/>
            <w:hideMark/>
          </w:tcPr>
          <w:p w14:paraId="51BB5736" w14:textId="77777777" w:rsidR="00CF56CC" w:rsidRPr="00902F72" w:rsidRDefault="00CF56CC" w:rsidP="00563741">
            <w:pPr>
              <w:spacing w:after="0" w:line="240" w:lineRule="auto"/>
              <w:jc w:val="right"/>
              <w:rPr>
                <w:rFonts w:ascii="GalanoGrotesque-Medium" w:eastAsia="Times New Roman" w:hAnsi="GalanoGrotesque-Medium" w:cs="Times New Roman"/>
                <w:color w:val="000000"/>
                <w:sz w:val="18"/>
                <w:lang w:eastAsia="es-MX"/>
              </w:rPr>
            </w:pPr>
            <w:r w:rsidRPr="00902F72">
              <w:rPr>
                <w:rFonts w:ascii="GalanoGrotesque-Medium" w:eastAsia="Times New Roman" w:hAnsi="GalanoGrotesque-Medium" w:cs="Times New Roman"/>
                <w:color w:val="000000"/>
                <w:sz w:val="18"/>
                <w:lang w:eastAsia="es-MX"/>
              </w:rPr>
              <w:t>18.2</w:t>
            </w:r>
          </w:p>
        </w:tc>
      </w:tr>
      <w:tr w:rsidR="00CF56CC" w:rsidRPr="00902F72" w14:paraId="33672948" w14:textId="77777777" w:rsidTr="00902F72">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1735A71" w14:textId="77777777" w:rsidR="00CF56CC" w:rsidRPr="00902F72" w:rsidRDefault="00CF56CC" w:rsidP="00563741">
            <w:pPr>
              <w:spacing w:after="0" w:line="240" w:lineRule="auto"/>
              <w:rPr>
                <w:rFonts w:ascii="GalanoGrotesque-Medium" w:eastAsia="Times New Roman" w:hAnsi="GalanoGrotesque-Medium" w:cs="Times New Roman"/>
                <w:color w:val="000000"/>
                <w:sz w:val="18"/>
                <w:lang w:eastAsia="es-MX"/>
              </w:rPr>
            </w:pPr>
            <w:r w:rsidRPr="00902F72">
              <w:rPr>
                <w:rFonts w:ascii="GalanoGrotesque-Medium" w:eastAsia="Times New Roman" w:hAnsi="GalanoGrotesque-Medium" w:cs="Times New Roman"/>
                <w:color w:val="000000"/>
                <w:sz w:val="18"/>
                <w:lang w:eastAsia="es-MX"/>
              </w:rPr>
              <w:t>Nacional</w:t>
            </w:r>
          </w:p>
        </w:tc>
        <w:tc>
          <w:tcPr>
            <w:tcW w:w="922" w:type="dxa"/>
            <w:tcBorders>
              <w:top w:val="nil"/>
              <w:left w:val="nil"/>
              <w:bottom w:val="single" w:sz="4" w:space="0" w:color="auto"/>
              <w:right w:val="single" w:sz="4" w:space="0" w:color="auto"/>
            </w:tcBorders>
            <w:shd w:val="clear" w:color="auto" w:fill="auto"/>
            <w:noWrap/>
            <w:vAlign w:val="bottom"/>
            <w:hideMark/>
          </w:tcPr>
          <w:p w14:paraId="71618F58" w14:textId="77777777" w:rsidR="00CF56CC" w:rsidRPr="00902F72" w:rsidRDefault="00CF56CC" w:rsidP="00563741">
            <w:pPr>
              <w:spacing w:after="0" w:line="240" w:lineRule="auto"/>
              <w:jc w:val="right"/>
              <w:rPr>
                <w:rFonts w:ascii="GalanoGrotesque-Medium" w:eastAsia="Times New Roman" w:hAnsi="GalanoGrotesque-Medium" w:cs="Times New Roman"/>
                <w:color w:val="000000"/>
                <w:sz w:val="18"/>
                <w:lang w:eastAsia="es-MX"/>
              </w:rPr>
            </w:pPr>
            <w:r w:rsidRPr="00902F72">
              <w:rPr>
                <w:rFonts w:ascii="GalanoGrotesque-Medium" w:eastAsia="Times New Roman" w:hAnsi="GalanoGrotesque-Medium" w:cs="Times New Roman"/>
                <w:color w:val="000000"/>
                <w:sz w:val="18"/>
                <w:lang w:eastAsia="es-MX"/>
              </w:rPr>
              <w:t>29.3</w:t>
            </w:r>
          </w:p>
        </w:tc>
        <w:tc>
          <w:tcPr>
            <w:tcW w:w="993" w:type="dxa"/>
            <w:tcBorders>
              <w:top w:val="nil"/>
              <w:left w:val="nil"/>
              <w:bottom w:val="single" w:sz="4" w:space="0" w:color="auto"/>
              <w:right w:val="single" w:sz="4" w:space="0" w:color="auto"/>
            </w:tcBorders>
            <w:shd w:val="clear" w:color="auto" w:fill="auto"/>
            <w:noWrap/>
            <w:vAlign w:val="bottom"/>
            <w:hideMark/>
          </w:tcPr>
          <w:p w14:paraId="46C50B32" w14:textId="77777777" w:rsidR="00CF56CC" w:rsidRPr="00902F72" w:rsidRDefault="00CF56CC" w:rsidP="00563741">
            <w:pPr>
              <w:spacing w:after="0" w:line="240" w:lineRule="auto"/>
              <w:jc w:val="right"/>
              <w:rPr>
                <w:rFonts w:ascii="GalanoGrotesque-Medium" w:eastAsia="Times New Roman" w:hAnsi="GalanoGrotesque-Medium" w:cs="Times New Roman"/>
                <w:color w:val="000000"/>
                <w:sz w:val="18"/>
                <w:lang w:eastAsia="es-MX"/>
              </w:rPr>
            </w:pPr>
            <w:r w:rsidRPr="00902F72">
              <w:rPr>
                <w:rFonts w:ascii="GalanoGrotesque-Medium" w:eastAsia="Times New Roman" w:hAnsi="GalanoGrotesque-Medium" w:cs="Times New Roman"/>
                <w:color w:val="000000"/>
                <w:sz w:val="18"/>
                <w:lang w:eastAsia="es-MX"/>
              </w:rPr>
              <w:t>27.9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04B4A1E" w14:textId="77777777" w:rsidR="00CF56CC" w:rsidRPr="00902F72" w:rsidRDefault="00CF56CC" w:rsidP="00563741">
            <w:pPr>
              <w:spacing w:after="0" w:line="240" w:lineRule="auto"/>
              <w:jc w:val="right"/>
              <w:rPr>
                <w:rFonts w:ascii="GalanoGrotesque-Medium" w:eastAsia="Times New Roman" w:hAnsi="GalanoGrotesque-Medium" w:cs="Times New Roman"/>
                <w:color w:val="000000"/>
                <w:sz w:val="18"/>
                <w:lang w:eastAsia="es-MX"/>
              </w:rPr>
            </w:pPr>
            <w:r w:rsidRPr="00902F72">
              <w:rPr>
                <w:rFonts w:ascii="GalanoGrotesque-Medium" w:eastAsia="Times New Roman" w:hAnsi="GalanoGrotesque-Medium" w:cs="Times New Roman"/>
                <w:color w:val="000000"/>
                <w:sz w:val="18"/>
                <w:lang w:eastAsia="es-MX"/>
              </w:rPr>
              <w:t>28.2</w:t>
            </w:r>
          </w:p>
        </w:tc>
      </w:tr>
    </w:tbl>
    <w:p w14:paraId="17A77478" w14:textId="77777777" w:rsidR="00563741" w:rsidRDefault="00563741" w:rsidP="00CF56CC">
      <w:pPr>
        <w:spacing w:after="0"/>
        <w:jc w:val="both"/>
        <w:rPr>
          <w:rFonts w:ascii="MyriadPro-Regular" w:eastAsia="Times New Roman" w:hAnsi="MyriadPro-Regular" w:cs="Arial"/>
          <w:sz w:val="16"/>
          <w:szCs w:val="16"/>
          <w:lang w:val="es-ES" w:eastAsia="es-ES"/>
        </w:rPr>
      </w:pPr>
    </w:p>
    <w:p w14:paraId="0E2BD3BF" w14:textId="77777777" w:rsidR="00CF56CC" w:rsidRPr="00563741" w:rsidRDefault="00CF56CC" w:rsidP="00902F72">
      <w:pPr>
        <w:spacing w:after="160" w:line="180" w:lineRule="exact"/>
        <w:jc w:val="both"/>
        <w:rPr>
          <w:rFonts w:ascii="MyriadPro-Regular" w:eastAsia="Times New Roman" w:hAnsi="MyriadPro-Regular" w:cs="Arial"/>
          <w:sz w:val="16"/>
          <w:szCs w:val="16"/>
          <w:lang w:val="es-ES" w:eastAsia="es-ES"/>
        </w:rPr>
      </w:pPr>
      <w:r w:rsidRPr="00563741">
        <w:rPr>
          <w:rFonts w:ascii="MyriadPro-Regular" w:eastAsia="Times New Roman" w:hAnsi="MyriadPro-Regular" w:cs="Arial"/>
          <w:sz w:val="16"/>
          <w:szCs w:val="16"/>
          <w:lang w:val="es-ES" w:eastAsia="es-ES"/>
        </w:rPr>
        <w:t>Fuente: Instituto Mexicano para las Competitividad, A.C., Índice de Competitividad Estatal 2014.</w:t>
      </w:r>
    </w:p>
    <w:p w14:paraId="42670A0C" w14:textId="77777777" w:rsidR="00CF56CC" w:rsidRPr="00C00F95" w:rsidRDefault="00CF56CC" w:rsidP="00902F72">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Como puede observarse en la Tabla 6.2, a nivel nacional el Subíndice de innovación en los Sectores Económicos, en el periodo 2010 a 2012 tuvo una tendencia a la baja lo que ocasionó que Michoacán perdiera 8 posiciones en el ranking nacional, al pasar del lugar décimo noveno en 2010 al lugar vigésimo séptimo en 2014 (Gráfica 6.4).</w:t>
      </w:r>
    </w:p>
    <w:p w14:paraId="05F94907" w14:textId="77777777" w:rsidR="00CF56CC" w:rsidRPr="00902F72" w:rsidRDefault="00CF56CC" w:rsidP="00902F72">
      <w:pPr>
        <w:widowControl w:val="0"/>
        <w:autoSpaceDE w:val="0"/>
        <w:autoSpaceDN w:val="0"/>
        <w:adjustRightInd w:val="0"/>
        <w:spacing w:after="0" w:line="180" w:lineRule="exact"/>
        <w:jc w:val="center"/>
        <w:rPr>
          <w:rFonts w:ascii="GalanoGrotesque-Medium" w:eastAsia="Times New Roman" w:hAnsi="GalanoGrotesque-Medium" w:cs="Arial"/>
          <w:b/>
          <w:sz w:val="16"/>
          <w:szCs w:val="16"/>
          <w:lang w:val="es-ES" w:eastAsia="es-ES"/>
        </w:rPr>
      </w:pPr>
      <w:r w:rsidRPr="00902F72">
        <w:rPr>
          <w:rFonts w:ascii="GalanoGrotesque-Medium" w:eastAsia="Times New Roman" w:hAnsi="GalanoGrotesque-Medium" w:cs="Arial"/>
          <w:b/>
          <w:sz w:val="16"/>
          <w:szCs w:val="16"/>
          <w:lang w:val="es-ES" w:eastAsia="es-ES"/>
        </w:rPr>
        <w:t>Gráfica 6.3</w:t>
      </w:r>
    </w:p>
    <w:p w14:paraId="47733CC7" w14:textId="77777777" w:rsidR="00D1696A" w:rsidRPr="00D1696A" w:rsidRDefault="00CF56CC" w:rsidP="00902F72">
      <w:pPr>
        <w:spacing w:after="160" w:line="180" w:lineRule="exact"/>
        <w:jc w:val="center"/>
        <w:rPr>
          <w:rFonts w:ascii="GalanoGrotesque-Medium" w:eastAsia="Times New Roman" w:hAnsi="GalanoGrotesque-Medium" w:cs="Arial"/>
          <w:sz w:val="16"/>
          <w:szCs w:val="16"/>
          <w:lang w:val="es-ES" w:eastAsia="es-ES"/>
        </w:rPr>
      </w:pPr>
      <w:r w:rsidRPr="00902F72">
        <w:rPr>
          <w:rFonts w:ascii="GalanoGrotesque-Medium" w:eastAsia="Times New Roman" w:hAnsi="GalanoGrotesque-Medium" w:cs="Arial"/>
          <w:sz w:val="16"/>
          <w:szCs w:val="16"/>
          <w:lang w:val="es-ES" w:eastAsia="es-ES"/>
        </w:rPr>
        <w:t>Innovación en los Sectores Económicos por entidad federativa</w:t>
      </w:r>
    </w:p>
    <w:p w14:paraId="2AEF70B7" w14:textId="77777777" w:rsidR="00CF56CC" w:rsidRPr="00CF56CC" w:rsidRDefault="00CF56CC" w:rsidP="00CF56CC">
      <w:pPr>
        <w:spacing w:after="0"/>
        <w:jc w:val="center"/>
        <w:rPr>
          <w:rFonts w:ascii="GalanoGrotesque-Medium" w:hAnsi="GalanoGrotesque-Medium" w:cs="Arial"/>
          <w:sz w:val="24"/>
          <w:szCs w:val="24"/>
        </w:rPr>
      </w:pPr>
      <w:r w:rsidRPr="00CF56CC">
        <w:rPr>
          <w:rFonts w:ascii="GalanoGrotesque-Medium" w:hAnsi="GalanoGrotesque-Medium"/>
          <w:noProof/>
          <w:lang w:val="es-ES" w:eastAsia="es-ES"/>
        </w:rPr>
        <w:drawing>
          <wp:inline distT="0" distB="0" distL="0" distR="0" wp14:anchorId="5C32A4D9" wp14:editId="1DEAFD17">
            <wp:extent cx="2976113" cy="4304581"/>
            <wp:effectExtent l="0" t="0" r="15240" b="127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EC3EED4" w14:textId="77777777" w:rsidR="00CF56CC" w:rsidRPr="00D1696A" w:rsidRDefault="00CF56CC" w:rsidP="00CF56CC">
      <w:pPr>
        <w:spacing w:after="0"/>
        <w:jc w:val="both"/>
        <w:rPr>
          <w:rFonts w:ascii="MyriadPro-Regular" w:eastAsia="Times New Roman" w:hAnsi="MyriadPro-Regular" w:cs="Arial"/>
          <w:sz w:val="16"/>
          <w:szCs w:val="16"/>
          <w:lang w:val="es-ES" w:eastAsia="es-ES"/>
        </w:rPr>
      </w:pPr>
      <w:r w:rsidRPr="00D1696A">
        <w:rPr>
          <w:rFonts w:ascii="MyriadPro-Regular" w:eastAsia="Times New Roman" w:hAnsi="MyriadPro-Regular" w:cs="Arial"/>
          <w:sz w:val="16"/>
          <w:szCs w:val="16"/>
          <w:lang w:val="es-ES" w:eastAsia="es-ES"/>
        </w:rPr>
        <w:t>Fuente: Elaboración del Instituto Mexicano para las Competitividad, A.C., Índice de Competitividad Estatal.</w:t>
      </w:r>
    </w:p>
    <w:p w14:paraId="7DAE0664" w14:textId="77777777" w:rsidR="00CF56CC" w:rsidRPr="00CF56CC" w:rsidRDefault="00CF56CC" w:rsidP="00CF56CC">
      <w:pPr>
        <w:spacing w:after="240"/>
        <w:jc w:val="both"/>
        <w:rPr>
          <w:rFonts w:ascii="GalanoGrotesque-Medium" w:hAnsi="GalanoGrotesque-Medium" w:cs="Arial"/>
          <w:sz w:val="24"/>
          <w:szCs w:val="24"/>
        </w:rPr>
      </w:pPr>
    </w:p>
    <w:p w14:paraId="18382031" w14:textId="77777777" w:rsidR="00CF56CC" w:rsidRPr="00C00F95" w:rsidRDefault="00CF56CC" w:rsidP="00902F72">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lastRenderedPageBreak/>
        <w:t>Las entidades punteras son el Distrito Federal, Nuevo León, Coahuila, Querétaro y Morelos, por su mayor intensidad en cuanto al número de patentes, investigadores, empresas certificadas, en el PIB industrial y servicios especializados, así como e</w:t>
      </w:r>
      <w:r w:rsidR="00D1696A">
        <w:rPr>
          <w:rFonts w:ascii="MyriadPro-Regular" w:hAnsi="MyriadPro-Regular" w:cs="MyriadPro-Regular"/>
          <w:color w:val="414142"/>
          <w:sz w:val="20"/>
          <w:szCs w:val="20"/>
        </w:rPr>
        <w:t>n la diversificación económica.</w:t>
      </w:r>
    </w:p>
    <w:p w14:paraId="3C37C700" w14:textId="77777777" w:rsidR="00CF56CC" w:rsidRPr="00C00F95" w:rsidRDefault="00CF56CC" w:rsidP="00902F72">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Por otro lado, el INEGI revela que el comportamiento del valor de las exportaciones de manufacturas ha tenido una tendencia positiva, pasando entre 2010-2014 de 8.08 a 10.87 miles de millones de dólares, lo que representa un incremento de 34.5% en este periodo; los subsectores más dinámicos fueron equipo de transporte y de computación y comunicaciones, así como aparatos y accesorios eléctricos.</w:t>
      </w:r>
    </w:p>
    <w:p w14:paraId="42DA249D" w14:textId="77777777" w:rsidR="00CF56CC" w:rsidRPr="00C00F95" w:rsidRDefault="00CF56CC" w:rsidP="00902F72">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Sin embargo, el valor de las exportaciones michoacanas se ha mantenido prácticamente estancado, incluso con una ligera caída en ese periodo, al pasar de 1.18 miles de millones de dólares en 2010 a 1.10 en 2014, lo que representa una disminución de 6.8%.</w:t>
      </w:r>
    </w:p>
    <w:p w14:paraId="45BB7E2A" w14:textId="77777777" w:rsidR="00CF56CC" w:rsidRPr="00C00F95" w:rsidRDefault="00CF56CC" w:rsidP="00902F72">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Por otra parte el indicador </w:t>
      </w:r>
      <w:proofErr w:type="spellStart"/>
      <w:r w:rsidRPr="00C00F95">
        <w:rPr>
          <w:rFonts w:ascii="MyriadPro-Regular" w:hAnsi="MyriadPro-Regular" w:cs="MyriadPro-Regular"/>
          <w:color w:val="414142"/>
          <w:sz w:val="20"/>
          <w:szCs w:val="20"/>
        </w:rPr>
        <w:t>Doing</w:t>
      </w:r>
      <w:proofErr w:type="spellEnd"/>
      <w:r w:rsidRPr="00C00F95">
        <w:rPr>
          <w:rFonts w:ascii="MyriadPro-Regular" w:hAnsi="MyriadPro-Regular" w:cs="MyriadPro-Regular"/>
          <w:color w:val="414142"/>
          <w:sz w:val="20"/>
          <w:szCs w:val="20"/>
        </w:rPr>
        <w:t xml:space="preserve"> Business publicado por el Banco Mundial que mide la facilidad para hacer negocios en las entidades federativas, indica que Michoacán logró su mejor posición nacional en el año 2012, ubicándose en el séptimo lugar entre las 32 entidades federativas. Sin embargo, la entidad perdió 5 lugares para el siguiente año y se ubicó en el décimo segundo lugar. </w:t>
      </w:r>
    </w:p>
    <w:p w14:paraId="44E3F703" w14:textId="77777777" w:rsidR="00CF56CC" w:rsidRDefault="00CF56CC" w:rsidP="00902F72">
      <w:pPr>
        <w:spacing w:after="16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En los componentes de este indicador, Michoacán ocupó el lugar 13 en cuanto a la facilidad para abrir una empresa, el 23 para obtener permisos de construcción, el 5 para registrar una propiedad, y el 16 para hacer cumplir los contratos.</w:t>
      </w:r>
    </w:p>
    <w:p w14:paraId="7887FB30" w14:textId="77777777" w:rsidR="00902F72" w:rsidRDefault="00902F72" w:rsidP="00CF56CC">
      <w:pPr>
        <w:spacing w:after="240"/>
        <w:jc w:val="both"/>
        <w:rPr>
          <w:rFonts w:ascii="MyriadPro-Regular" w:hAnsi="MyriadPro-Regular" w:cs="MyriadPro-Regular"/>
          <w:color w:val="414142"/>
          <w:sz w:val="20"/>
          <w:szCs w:val="20"/>
        </w:rPr>
        <w:sectPr w:rsidR="00902F72" w:rsidSect="00CF56CC">
          <w:footnotePr>
            <w:numStart w:val="4"/>
          </w:footnotePr>
          <w:type w:val="continuous"/>
          <w:pgSz w:w="12240" w:h="15840"/>
          <w:pgMar w:top="1418" w:right="1134" w:bottom="1418" w:left="1134" w:header="709" w:footer="709" w:gutter="0"/>
          <w:cols w:num="2" w:space="567"/>
          <w:docGrid w:linePitch="360"/>
        </w:sectPr>
      </w:pPr>
    </w:p>
    <w:p w14:paraId="13BC5D1F" w14:textId="77777777" w:rsidR="00CF56CC" w:rsidRPr="00902F72" w:rsidRDefault="00CF56CC" w:rsidP="00902F72">
      <w:pPr>
        <w:spacing w:after="0" w:line="180" w:lineRule="exact"/>
        <w:jc w:val="center"/>
        <w:rPr>
          <w:rFonts w:ascii="GalanoGrotesque-Medium" w:eastAsia="Times New Roman" w:hAnsi="GalanoGrotesque-Medium" w:cs="Arial"/>
          <w:b/>
          <w:sz w:val="16"/>
          <w:szCs w:val="16"/>
          <w:lang w:val="es-ES" w:eastAsia="es-ES"/>
        </w:rPr>
      </w:pPr>
      <w:r w:rsidRPr="00902F72">
        <w:rPr>
          <w:rFonts w:ascii="GalanoGrotesque-Medium" w:eastAsia="Times New Roman" w:hAnsi="GalanoGrotesque-Medium" w:cs="Arial"/>
          <w:b/>
          <w:sz w:val="16"/>
          <w:szCs w:val="16"/>
          <w:lang w:val="es-ES" w:eastAsia="es-ES"/>
        </w:rPr>
        <w:lastRenderedPageBreak/>
        <w:t>Gráfica 6.4</w:t>
      </w:r>
    </w:p>
    <w:p w14:paraId="3C4D2B54" w14:textId="77777777" w:rsidR="00CF56CC" w:rsidRPr="00902F72" w:rsidRDefault="00CF56CC" w:rsidP="00902F72">
      <w:pPr>
        <w:spacing w:after="160" w:line="180" w:lineRule="exact"/>
        <w:jc w:val="center"/>
        <w:rPr>
          <w:rFonts w:ascii="GalanoGrotesque-Medium" w:eastAsia="Times New Roman" w:hAnsi="GalanoGrotesque-Medium" w:cs="Arial"/>
          <w:b/>
          <w:sz w:val="16"/>
          <w:szCs w:val="16"/>
          <w:lang w:val="es-ES" w:eastAsia="es-ES"/>
        </w:rPr>
      </w:pPr>
      <w:proofErr w:type="spellStart"/>
      <w:r w:rsidRPr="00902F72">
        <w:rPr>
          <w:rFonts w:ascii="GalanoGrotesque-Medium" w:eastAsia="Times New Roman" w:hAnsi="GalanoGrotesque-Medium" w:cs="Arial"/>
          <w:b/>
          <w:i/>
          <w:sz w:val="16"/>
          <w:szCs w:val="16"/>
          <w:lang w:val="es-ES" w:eastAsia="es-ES"/>
        </w:rPr>
        <w:t>Doing</w:t>
      </w:r>
      <w:proofErr w:type="spellEnd"/>
      <w:r w:rsidRPr="00902F72">
        <w:rPr>
          <w:rFonts w:ascii="GalanoGrotesque-Medium" w:eastAsia="Times New Roman" w:hAnsi="GalanoGrotesque-Medium" w:cs="Arial"/>
          <w:b/>
          <w:i/>
          <w:sz w:val="16"/>
          <w:szCs w:val="16"/>
          <w:lang w:val="es-ES" w:eastAsia="es-ES"/>
        </w:rPr>
        <w:t xml:space="preserve"> Business</w:t>
      </w:r>
      <w:r w:rsidRPr="00902F72">
        <w:rPr>
          <w:rFonts w:ascii="GalanoGrotesque-Medium" w:eastAsia="Times New Roman" w:hAnsi="GalanoGrotesque-Medium" w:cs="Arial"/>
          <w:b/>
          <w:sz w:val="16"/>
          <w:szCs w:val="16"/>
          <w:lang w:val="es-ES" w:eastAsia="es-ES"/>
        </w:rPr>
        <w:t>, por Entidad Federativa 2013</w:t>
      </w:r>
    </w:p>
    <w:p w14:paraId="778410C6" w14:textId="77777777" w:rsidR="00CF56CC" w:rsidRPr="00950947" w:rsidRDefault="00CF56CC" w:rsidP="00950947">
      <w:pPr>
        <w:spacing w:after="240"/>
        <w:jc w:val="center"/>
        <w:rPr>
          <w:rFonts w:ascii="GalanoGrotesque-Medium" w:eastAsia="Times New Roman" w:hAnsi="GalanoGrotesque-Medium" w:cs="Arial"/>
          <w:b/>
          <w:sz w:val="24"/>
          <w:szCs w:val="24"/>
          <w:lang w:val="es-ES" w:eastAsia="es-ES"/>
        </w:rPr>
      </w:pPr>
      <w:r w:rsidRPr="00CF56CC">
        <w:rPr>
          <w:rFonts w:ascii="GalanoGrotesque-Medium" w:eastAsia="Times New Roman" w:hAnsi="GalanoGrotesque-Medium" w:cs="Times New Roman"/>
          <w:noProof/>
          <w:color w:val="FF0000"/>
          <w:sz w:val="24"/>
          <w:szCs w:val="24"/>
          <w:lang w:val="es-ES" w:eastAsia="es-ES"/>
        </w:rPr>
        <w:drawing>
          <wp:inline distT="0" distB="0" distL="0" distR="0" wp14:anchorId="5AFC102E" wp14:editId="130590BA">
            <wp:extent cx="2968831" cy="4583875"/>
            <wp:effectExtent l="0" t="0" r="3175" b="762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036A6E">
        <w:rPr>
          <w:rFonts w:ascii="MyriadPro-Regular" w:eastAsia="Times New Roman" w:hAnsi="MyriadPro-Regular" w:cs="Arial"/>
          <w:sz w:val="16"/>
          <w:szCs w:val="16"/>
          <w:lang w:val="es-ES" w:eastAsia="es-ES"/>
        </w:rPr>
        <w:t>Fuente: Elaboración del Instituto Mexicano para las Competitividad, A.C., Índice de Competitividad Estatal.</w:t>
      </w:r>
    </w:p>
    <w:p w14:paraId="20848547" w14:textId="77777777" w:rsidR="00CF56CC" w:rsidRPr="00902F72" w:rsidRDefault="00036A6E" w:rsidP="00902F72">
      <w:pPr>
        <w:pStyle w:val="Prrafodelista"/>
        <w:numPr>
          <w:ilvl w:val="0"/>
          <w:numId w:val="25"/>
        </w:numPr>
        <w:spacing w:after="160"/>
        <w:ind w:left="425" w:hanging="425"/>
        <w:jc w:val="both"/>
        <w:rPr>
          <w:rFonts w:ascii="GalanoGrotesque-Medium" w:hAnsi="GalanoGrotesque-Medium" w:cs="Arial"/>
          <w:b/>
        </w:rPr>
      </w:pPr>
      <w:r w:rsidRPr="00902F72">
        <w:rPr>
          <w:rFonts w:ascii="MyriadPro-Bold" w:hAnsi="MyriadPro-Bold" w:cs="MyriadPro-Bold"/>
          <w:b/>
          <w:bCs/>
          <w:color w:val="414142"/>
        </w:rPr>
        <w:t>Hacia dónde vamos</w:t>
      </w:r>
    </w:p>
    <w:p w14:paraId="16F9A653" w14:textId="77777777" w:rsidR="00CF56CC" w:rsidRPr="00C00F95" w:rsidRDefault="00CF56CC" w:rsidP="00036A6E">
      <w:pPr>
        <w:spacing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El gobierno del Estado trabajará para vincular a los distintos agentes del sistema de CTI para constituir mecanismos efectivos de gobernanza que le permitan implementar políticas públicas que incidan en el desarrollo a largo plazo de Michoacán.</w:t>
      </w:r>
    </w:p>
    <w:p w14:paraId="026E741B" w14:textId="77777777" w:rsidR="00CF56CC" w:rsidRPr="00C00F95" w:rsidRDefault="00CF56CC" w:rsidP="00036A6E">
      <w:pPr>
        <w:spacing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Además, en los próximos años será fundamental vincular de una forma eficiente a las universidades e institutos de investigación y de formación profesional con las empresas para constituir un tejido empresarial productivo, innovador y competitivo.</w:t>
      </w:r>
    </w:p>
    <w:p w14:paraId="6268DAE4" w14:textId="77777777" w:rsidR="00CF56CC" w:rsidRPr="00C00F95" w:rsidRDefault="00CF56CC" w:rsidP="00036A6E">
      <w:pPr>
        <w:spacing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 xml:space="preserve">Es importante también identificar los sectores económicos disruptivos y el talento de nuestros investigadores y empresarios, así como fomentar el </w:t>
      </w:r>
      <w:proofErr w:type="spellStart"/>
      <w:r w:rsidRPr="00C00F95">
        <w:rPr>
          <w:rFonts w:ascii="MyriadPro-Regular" w:hAnsi="MyriadPro-Regular" w:cs="MyriadPro-Regular"/>
          <w:color w:val="414142"/>
          <w:sz w:val="20"/>
          <w:szCs w:val="20"/>
        </w:rPr>
        <w:lastRenderedPageBreak/>
        <w:t>emprendedurismo</w:t>
      </w:r>
      <w:proofErr w:type="spellEnd"/>
      <w:r w:rsidRPr="00C00F95">
        <w:rPr>
          <w:rFonts w:ascii="MyriadPro-Regular" w:hAnsi="MyriadPro-Regular" w:cs="MyriadPro-Regular"/>
          <w:color w:val="414142"/>
          <w:sz w:val="20"/>
          <w:szCs w:val="20"/>
        </w:rPr>
        <w:t>. En la difusión científica se pretende construir un Museo Centro Interactivo de la Ciencia y la Tecnología con el apoyo del Consejo Nacional de Ciencia y Tecnología,  y en alianza con institutos de ciencia y tecnología internacionales.</w:t>
      </w:r>
    </w:p>
    <w:p w14:paraId="6BA247AD" w14:textId="77777777" w:rsidR="00CF56CC" w:rsidRPr="00C00F95" w:rsidRDefault="00CF56CC" w:rsidP="00036A6E">
      <w:pPr>
        <w:spacing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En todo ello, reconocemos que Michoacán debe posicionarse a nivel internacional por lo que se promoverá arduamente al Estado en el extranjero con el fin de atraer inversiones estratégicas y cooperación internacional, así como impulsar la movilidad de creadores, productores y gestores culturales, añadir valor a los bienes culturales tangibles e intangibles y difundir la multiculturalidad y biodiversidad del Estado.</w:t>
      </w:r>
    </w:p>
    <w:p w14:paraId="4BA4A970" w14:textId="77777777" w:rsidR="00CF56CC" w:rsidRPr="00C00F95" w:rsidRDefault="00CF56CC" w:rsidP="00036A6E">
      <w:pPr>
        <w:spacing w:after="240" w:line="240" w:lineRule="auto"/>
        <w:jc w:val="both"/>
        <w:rPr>
          <w:rFonts w:ascii="MyriadPro-Regular" w:hAnsi="MyriadPro-Regular" w:cs="MyriadPro-Regular"/>
          <w:color w:val="414142"/>
          <w:sz w:val="20"/>
          <w:szCs w:val="20"/>
        </w:rPr>
      </w:pPr>
      <w:r w:rsidRPr="00C00F95">
        <w:rPr>
          <w:rFonts w:ascii="MyriadPro-Regular" w:hAnsi="MyriadPro-Regular" w:cs="MyriadPro-Regular"/>
          <w:color w:val="414142"/>
          <w:sz w:val="20"/>
          <w:szCs w:val="20"/>
        </w:rPr>
        <w:t>Además, el Estado es privilegiado en recursos naturales y tiene un gran potencial de crecimiento dada su posición geográfica en el territorio nacional, por lo que debe continuar reforzando su posición estratégica en la región centro del país y aprovechar su acceso a los mercados internacionales de la Cuenca del Pacífico y otros, a través del desarrollo de la Zona Económica Especial del puerto de Lázaro Cárdenas.</w:t>
      </w:r>
    </w:p>
    <w:p w14:paraId="0705159E" w14:textId="77777777" w:rsidR="00CF56CC" w:rsidRPr="001D48E8" w:rsidRDefault="00CF56CC" w:rsidP="00036A6E">
      <w:pPr>
        <w:spacing w:after="24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Para lograr lo anterior se plantean los objetivos, líneas estratégicas y acciones que se muestran en la Tabla 6.3.</w:t>
      </w:r>
    </w:p>
    <w:p w14:paraId="691AFF66" w14:textId="77777777" w:rsidR="00CF56CC" w:rsidRDefault="00CF56CC" w:rsidP="00CF56CC">
      <w:pPr>
        <w:spacing w:after="240"/>
        <w:jc w:val="both"/>
        <w:rPr>
          <w:rFonts w:ascii="GalanoGrotesque-Medium" w:eastAsia="Times New Roman" w:hAnsi="GalanoGrotesque-Medium" w:cs="Arial"/>
          <w:sz w:val="24"/>
          <w:szCs w:val="24"/>
          <w:lang w:val="es-ES" w:eastAsia="es-ES"/>
        </w:rPr>
        <w:sectPr w:rsidR="00CF56CC" w:rsidSect="00902F72">
          <w:footnotePr>
            <w:numStart w:val="4"/>
          </w:footnotePr>
          <w:pgSz w:w="12240" w:h="15840"/>
          <w:pgMar w:top="1418" w:right="1134" w:bottom="1418" w:left="1134" w:header="709" w:footer="709" w:gutter="0"/>
          <w:cols w:num="2" w:space="567"/>
          <w:docGrid w:linePitch="360"/>
        </w:sectPr>
      </w:pPr>
    </w:p>
    <w:p w14:paraId="4BC4E450" w14:textId="77777777" w:rsidR="00CF56CC" w:rsidRPr="00DA4C4D" w:rsidRDefault="00CF56CC" w:rsidP="00CF56CC">
      <w:pPr>
        <w:spacing w:after="0" w:line="240" w:lineRule="auto"/>
        <w:jc w:val="center"/>
        <w:rPr>
          <w:rFonts w:ascii="GalanoGrotesque-Medium" w:eastAsia="Times New Roman" w:hAnsi="GalanoGrotesque-Medium" w:cs="Arial"/>
          <w:b/>
          <w:sz w:val="16"/>
          <w:lang w:val="es-ES" w:eastAsia="es-ES"/>
        </w:rPr>
      </w:pPr>
      <w:r w:rsidRPr="00DA4C4D">
        <w:rPr>
          <w:rFonts w:ascii="GalanoGrotesque-Medium" w:eastAsia="Times New Roman" w:hAnsi="GalanoGrotesque-Medium" w:cs="Arial"/>
          <w:b/>
          <w:sz w:val="16"/>
          <w:lang w:val="es-ES" w:eastAsia="es-ES"/>
        </w:rPr>
        <w:lastRenderedPageBreak/>
        <w:t>Tabla 6.3</w:t>
      </w:r>
    </w:p>
    <w:p w14:paraId="5B77BF5B" w14:textId="77777777" w:rsidR="00CF56CC" w:rsidRPr="00DA4C4D" w:rsidRDefault="00CF56CC" w:rsidP="00CF56CC">
      <w:pPr>
        <w:spacing w:after="0" w:line="240" w:lineRule="auto"/>
        <w:jc w:val="center"/>
        <w:rPr>
          <w:rFonts w:ascii="GalanoGrotesque-Medium" w:eastAsia="Times New Roman" w:hAnsi="GalanoGrotesque-Medium" w:cs="Arial"/>
          <w:sz w:val="16"/>
          <w:lang w:val="es-ES" w:eastAsia="es-ES"/>
        </w:rPr>
      </w:pPr>
      <w:r w:rsidRPr="00DA4C4D">
        <w:rPr>
          <w:rFonts w:ascii="GalanoGrotesque-Medium" w:eastAsia="Times New Roman" w:hAnsi="GalanoGrotesque-Medium" w:cs="Arial"/>
          <w:sz w:val="16"/>
          <w:lang w:val="es-ES" w:eastAsia="es-ES"/>
        </w:rPr>
        <w:t>Objetivos, Líneas Estratégicas y Acciones</w:t>
      </w:r>
    </w:p>
    <w:p w14:paraId="1BF4EE49" w14:textId="77777777" w:rsidR="00036A6E" w:rsidRPr="00036A6E" w:rsidRDefault="00036A6E" w:rsidP="00CF56CC">
      <w:pPr>
        <w:spacing w:after="0" w:line="240" w:lineRule="auto"/>
        <w:jc w:val="center"/>
        <w:rPr>
          <w:rFonts w:ascii="GalanoGrotesque-Medium" w:eastAsia="Times New Roman" w:hAnsi="GalanoGrotesque-Medium" w:cs="Arial"/>
          <w:lang w:val="es-ES" w:eastAsia="es-ES"/>
        </w:rPr>
      </w:pPr>
    </w:p>
    <w:tbl>
      <w:tblPr>
        <w:tblStyle w:val="Tablaconcuadrcula"/>
        <w:tblW w:w="9072" w:type="dxa"/>
        <w:jc w:val="center"/>
        <w:tblLook w:val="04A0" w:firstRow="1" w:lastRow="0" w:firstColumn="1" w:lastColumn="0" w:noHBand="0" w:noVBand="1"/>
      </w:tblPr>
      <w:tblGrid>
        <w:gridCol w:w="9072"/>
      </w:tblGrid>
      <w:tr w:rsidR="00CF56CC" w:rsidRPr="00036A6E" w14:paraId="51CE9177" w14:textId="77777777" w:rsidTr="00CF56CC">
        <w:trPr>
          <w:jc w:val="center"/>
        </w:trPr>
        <w:tc>
          <w:tcPr>
            <w:tcW w:w="9072" w:type="dxa"/>
            <w:shd w:val="clear" w:color="auto" w:fill="67D7BA"/>
          </w:tcPr>
          <w:p w14:paraId="1E663366" w14:textId="77777777" w:rsidR="00CF56CC" w:rsidRPr="00036A6E" w:rsidRDefault="00CF56CC" w:rsidP="00FB5FD9">
            <w:pPr>
              <w:rPr>
                <w:rFonts w:ascii="MyriadPro-Regular" w:hAnsi="MyriadPro-Regular" w:cs="Arial"/>
                <w:b/>
              </w:rPr>
            </w:pPr>
            <w:r w:rsidRPr="00036A6E">
              <w:rPr>
                <w:rFonts w:ascii="MyriadPro-Regular" w:hAnsi="MyriadPro-Regular" w:cs="Arial"/>
                <w:b/>
              </w:rPr>
              <w:t>Prioridad 6: Innovación, Productividad y Competitividad.</w:t>
            </w:r>
          </w:p>
        </w:tc>
      </w:tr>
      <w:tr w:rsidR="00CF56CC" w:rsidRPr="00036A6E" w14:paraId="71B62A51" w14:textId="77777777" w:rsidTr="00CF56CC">
        <w:trPr>
          <w:jc w:val="center"/>
        </w:trPr>
        <w:tc>
          <w:tcPr>
            <w:tcW w:w="9072" w:type="dxa"/>
            <w:shd w:val="clear" w:color="auto" w:fill="67D7BA"/>
          </w:tcPr>
          <w:p w14:paraId="7CAF7205" w14:textId="77777777" w:rsidR="00CF56CC" w:rsidRPr="00036A6E" w:rsidRDefault="00CF56CC" w:rsidP="00FB5FD9">
            <w:pPr>
              <w:rPr>
                <w:rFonts w:ascii="MyriadPro-Regular" w:hAnsi="MyriadPro-Regular" w:cs="Arial"/>
              </w:rPr>
            </w:pPr>
            <w:r w:rsidRPr="00036A6E">
              <w:rPr>
                <w:rFonts w:ascii="MyriadPro-Regular" w:hAnsi="MyriadPro-Regular" w:cs="Arial"/>
                <w:b/>
              </w:rPr>
              <w:t>Objetivo</w:t>
            </w:r>
          </w:p>
        </w:tc>
      </w:tr>
      <w:tr w:rsidR="00CF56CC" w:rsidRPr="00036A6E" w14:paraId="46B8C34F" w14:textId="77777777" w:rsidTr="00CF56CC">
        <w:trPr>
          <w:jc w:val="center"/>
        </w:trPr>
        <w:tc>
          <w:tcPr>
            <w:tcW w:w="9072" w:type="dxa"/>
            <w:shd w:val="clear" w:color="auto" w:fill="auto"/>
          </w:tcPr>
          <w:p w14:paraId="7482530B" w14:textId="77777777" w:rsidR="00CF56CC" w:rsidRPr="00036A6E" w:rsidRDefault="00036A6E" w:rsidP="00FB5FD9">
            <w:pPr>
              <w:ind w:left="629" w:hanging="629"/>
              <w:jc w:val="both"/>
              <w:rPr>
                <w:rFonts w:ascii="MyriadPro-Regular" w:hAnsi="MyriadPro-Regular" w:cs="Arial"/>
                <w:b/>
              </w:rPr>
            </w:pPr>
            <w:r w:rsidRPr="00036A6E">
              <w:rPr>
                <w:rFonts w:ascii="MyriadPro-Regular" w:hAnsi="MyriadPro-Regular" w:cs="Arial"/>
              </w:rPr>
              <w:t>6.1 Vincular</w:t>
            </w:r>
            <w:r w:rsidR="00CF56CC" w:rsidRPr="00036A6E">
              <w:rPr>
                <w:rFonts w:ascii="MyriadPro-Regular" w:hAnsi="MyriadPro-Regular" w:cs="Arial"/>
              </w:rPr>
              <w:t xml:space="preserve"> a los distintos organismos e instituciones relacionados con la investigación, desarrollo tecnológico e innovación.</w:t>
            </w:r>
          </w:p>
        </w:tc>
      </w:tr>
      <w:tr w:rsidR="00CF56CC" w:rsidRPr="00036A6E" w14:paraId="082D9739" w14:textId="77777777" w:rsidTr="00CF56CC">
        <w:trPr>
          <w:jc w:val="center"/>
        </w:trPr>
        <w:tc>
          <w:tcPr>
            <w:tcW w:w="9072" w:type="dxa"/>
            <w:shd w:val="clear" w:color="auto" w:fill="67D7BA"/>
          </w:tcPr>
          <w:p w14:paraId="39298059" w14:textId="77777777" w:rsidR="00CF56CC" w:rsidRPr="00036A6E" w:rsidRDefault="00CF56CC" w:rsidP="00FB5FD9">
            <w:pPr>
              <w:rPr>
                <w:rFonts w:ascii="MyriadPro-Regular" w:hAnsi="MyriadPro-Regular" w:cs="Arial"/>
              </w:rPr>
            </w:pPr>
            <w:r w:rsidRPr="00036A6E">
              <w:rPr>
                <w:rFonts w:ascii="MyriadPro-Regular" w:hAnsi="MyriadPro-Regular" w:cs="Arial"/>
                <w:b/>
              </w:rPr>
              <w:t>Línea estratégica</w:t>
            </w:r>
          </w:p>
        </w:tc>
      </w:tr>
      <w:tr w:rsidR="00CF56CC" w:rsidRPr="00036A6E" w14:paraId="58009DD4" w14:textId="77777777" w:rsidTr="00CF56CC">
        <w:trPr>
          <w:jc w:val="center"/>
        </w:trPr>
        <w:tc>
          <w:tcPr>
            <w:tcW w:w="9072" w:type="dxa"/>
            <w:shd w:val="clear" w:color="auto" w:fill="auto"/>
          </w:tcPr>
          <w:p w14:paraId="580F24B8" w14:textId="77777777" w:rsidR="00CF56CC" w:rsidRPr="00036A6E" w:rsidRDefault="00CF56CC" w:rsidP="00FB5FD9">
            <w:pPr>
              <w:ind w:left="487"/>
              <w:rPr>
                <w:rFonts w:ascii="MyriadPro-Regular" w:hAnsi="MyriadPro-Regular" w:cs="Arial"/>
                <w:b/>
              </w:rPr>
            </w:pPr>
            <w:r w:rsidRPr="00036A6E">
              <w:rPr>
                <w:rFonts w:ascii="MyriadPro-Regular" w:hAnsi="MyriadPro-Regular" w:cs="Arial"/>
              </w:rPr>
              <w:t xml:space="preserve">6.1.1 </w:t>
            </w:r>
            <w:r w:rsidRPr="00036A6E">
              <w:rPr>
                <w:rFonts w:ascii="MyriadPro-Regular" w:hAnsi="MyriadPro-Regular" w:cs="Arial"/>
              </w:rPr>
              <w:tab/>
              <w:t>Desarrollar el Sistema Estatal de Ciencia, Tecnología e Innovación.</w:t>
            </w:r>
          </w:p>
        </w:tc>
      </w:tr>
      <w:tr w:rsidR="00CF56CC" w:rsidRPr="00036A6E" w14:paraId="4BCAB0BE" w14:textId="77777777" w:rsidTr="00CF56CC">
        <w:trPr>
          <w:jc w:val="center"/>
        </w:trPr>
        <w:tc>
          <w:tcPr>
            <w:tcW w:w="9072" w:type="dxa"/>
            <w:shd w:val="clear" w:color="auto" w:fill="67D7BA"/>
          </w:tcPr>
          <w:p w14:paraId="2AB3B8F1" w14:textId="77777777" w:rsidR="00CF56CC" w:rsidRPr="00036A6E" w:rsidRDefault="00CF56CC" w:rsidP="00FB5FD9">
            <w:pPr>
              <w:rPr>
                <w:rFonts w:ascii="MyriadPro-Regular" w:hAnsi="MyriadPro-Regular" w:cs="Arial"/>
              </w:rPr>
            </w:pPr>
            <w:r w:rsidRPr="00036A6E">
              <w:rPr>
                <w:rFonts w:ascii="MyriadPro-Regular" w:hAnsi="MyriadPro-Regular" w:cs="Arial"/>
                <w:b/>
              </w:rPr>
              <w:t>Acciones</w:t>
            </w:r>
          </w:p>
        </w:tc>
      </w:tr>
      <w:tr w:rsidR="00CF56CC" w:rsidRPr="00036A6E" w14:paraId="144B091C" w14:textId="77777777" w:rsidTr="00CF56CC">
        <w:trPr>
          <w:jc w:val="center"/>
        </w:trPr>
        <w:tc>
          <w:tcPr>
            <w:tcW w:w="9072" w:type="dxa"/>
            <w:shd w:val="clear" w:color="auto" w:fill="auto"/>
          </w:tcPr>
          <w:p w14:paraId="39EB55E5" w14:textId="77777777" w:rsidR="00CF56CC" w:rsidRPr="00036A6E" w:rsidRDefault="00CF56CC" w:rsidP="00FB5FD9">
            <w:pPr>
              <w:tabs>
                <w:tab w:val="left" w:pos="884"/>
              </w:tabs>
              <w:ind w:left="2303" w:hanging="851"/>
              <w:jc w:val="both"/>
              <w:rPr>
                <w:rFonts w:ascii="MyriadPro-Regular" w:hAnsi="MyriadPro-Regular" w:cs="Arial"/>
              </w:rPr>
            </w:pPr>
            <w:r w:rsidRPr="00036A6E">
              <w:rPr>
                <w:rFonts w:ascii="MyriadPro-Regular" w:hAnsi="MyriadPro-Regular" w:cs="Arial"/>
              </w:rPr>
              <w:t>6.1.1.1 Establecer el sistema de innovación y sus mecanismos de interrelación.</w:t>
            </w:r>
          </w:p>
        </w:tc>
      </w:tr>
      <w:tr w:rsidR="00CF56CC" w:rsidRPr="00036A6E" w14:paraId="01E0C56C" w14:textId="77777777" w:rsidTr="00CF56CC">
        <w:trPr>
          <w:jc w:val="center"/>
        </w:trPr>
        <w:tc>
          <w:tcPr>
            <w:tcW w:w="9072" w:type="dxa"/>
            <w:shd w:val="clear" w:color="auto" w:fill="auto"/>
          </w:tcPr>
          <w:p w14:paraId="1DA945A0" w14:textId="77777777" w:rsidR="00CF56CC" w:rsidRPr="00036A6E" w:rsidRDefault="00CF56CC" w:rsidP="00FB5FD9">
            <w:pPr>
              <w:tabs>
                <w:tab w:val="left" w:pos="884"/>
              </w:tabs>
              <w:ind w:left="2303" w:hanging="851"/>
              <w:jc w:val="both"/>
              <w:rPr>
                <w:rFonts w:ascii="MyriadPro-Regular" w:hAnsi="MyriadPro-Regular" w:cs="Arial"/>
              </w:rPr>
            </w:pPr>
            <w:r w:rsidRPr="00036A6E">
              <w:rPr>
                <w:rFonts w:ascii="MyriadPro-Regular" w:hAnsi="MyriadPro-Regular" w:cs="Arial"/>
              </w:rPr>
              <w:t xml:space="preserve">6.1.1.2 </w:t>
            </w:r>
            <w:r w:rsidRPr="00036A6E">
              <w:rPr>
                <w:rFonts w:ascii="MyriadPro-Regular" w:hAnsi="MyriadPro-Regular" w:cs="Arial"/>
              </w:rPr>
              <w:tab/>
              <w:t>Implementar mecanismos de gobernanza efectivos para el diseño, instrumentación y evaluación de iniciativas innovadoras que incidan en el desarrollo a largo plazo de Michoacán.</w:t>
            </w:r>
          </w:p>
        </w:tc>
      </w:tr>
      <w:tr w:rsidR="00CF56CC" w:rsidRPr="00036A6E" w14:paraId="25EF89D8" w14:textId="77777777" w:rsidTr="00CF56CC">
        <w:trPr>
          <w:jc w:val="center"/>
        </w:trPr>
        <w:tc>
          <w:tcPr>
            <w:tcW w:w="9072" w:type="dxa"/>
            <w:shd w:val="clear" w:color="auto" w:fill="auto"/>
          </w:tcPr>
          <w:p w14:paraId="27027FDA" w14:textId="77777777" w:rsidR="00CF56CC" w:rsidRPr="00036A6E" w:rsidRDefault="00CF56CC" w:rsidP="00FB5FD9">
            <w:pPr>
              <w:ind w:left="2303" w:hanging="851"/>
              <w:jc w:val="both"/>
              <w:rPr>
                <w:rFonts w:ascii="MyriadPro-Regular" w:hAnsi="MyriadPro-Regular" w:cs="Arial"/>
              </w:rPr>
            </w:pPr>
            <w:r w:rsidRPr="00036A6E">
              <w:rPr>
                <w:rFonts w:ascii="MyriadPro-Regular" w:hAnsi="MyriadPro-Regular" w:cs="Arial"/>
              </w:rPr>
              <w:t>6.1.1.3 Crear e implementar un sistema de financiamiento e incentivos para los organismos que generan y demandan conocimiento.</w:t>
            </w:r>
          </w:p>
        </w:tc>
      </w:tr>
      <w:tr w:rsidR="00CF56CC" w:rsidRPr="00036A6E" w14:paraId="045EE74E" w14:textId="77777777" w:rsidTr="00CF56CC">
        <w:trPr>
          <w:jc w:val="center"/>
        </w:trPr>
        <w:tc>
          <w:tcPr>
            <w:tcW w:w="9072" w:type="dxa"/>
            <w:shd w:val="clear" w:color="auto" w:fill="67D7BA"/>
          </w:tcPr>
          <w:p w14:paraId="7187DE0F" w14:textId="77777777" w:rsidR="00CF56CC" w:rsidRPr="00036A6E" w:rsidRDefault="00CF56CC" w:rsidP="00FB5FD9">
            <w:pPr>
              <w:rPr>
                <w:rFonts w:ascii="MyriadPro-Regular" w:hAnsi="MyriadPro-Regular" w:cs="Arial"/>
              </w:rPr>
            </w:pPr>
            <w:r w:rsidRPr="00036A6E">
              <w:rPr>
                <w:rFonts w:ascii="MyriadPro-Regular" w:hAnsi="MyriadPro-Regular" w:cs="Arial"/>
                <w:b/>
              </w:rPr>
              <w:t xml:space="preserve">Línea estratégica </w:t>
            </w:r>
          </w:p>
        </w:tc>
      </w:tr>
      <w:tr w:rsidR="00CF56CC" w:rsidRPr="00036A6E" w14:paraId="688C2175" w14:textId="77777777" w:rsidTr="00CF56CC">
        <w:trPr>
          <w:jc w:val="center"/>
        </w:trPr>
        <w:tc>
          <w:tcPr>
            <w:tcW w:w="9072" w:type="dxa"/>
            <w:shd w:val="clear" w:color="auto" w:fill="auto"/>
          </w:tcPr>
          <w:p w14:paraId="47DC4692" w14:textId="77777777" w:rsidR="00CF56CC" w:rsidRPr="00036A6E" w:rsidRDefault="00CF56CC" w:rsidP="00FB5FD9">
            <w:pPr>
              <w:ind w:left="487"/>
              <w:rPr>
                <w:rFonts w:ascii="MyriadPro-Regular" w:hAnsi="MyriadPro-Regular" w:cs="Arial"/>
                <w:b/>
              </w:rPr>
            </w:pPr>
            <w:r w:rsidRPr="00036A6E">
              <w:rPr>
                <w:rFonts w:ascii="MyriadPro-Regular" w:hAnsi="MyriadPro-Regular" w:cs="Arial"/>
              </w:rPr>
              <w:t>6.1.2 Elevar la productividad del tejido empresarial existente en el Estado.</w:t>
            </w:r>
          </w:p>
        </w:tc>
      </w:tr>
      <w:tr w:rsidR="00CF56CC" w:rsidRPr="00036A6E" w14:paraId="25B2CF5C" w14:textId="77777777" w:rsidTr="00CF56CC">
        <w:trPr>
          <w:jc w:val="center"/>
        </w:trPr>
        <w:tc>
          <w:tcPr>
            <w:tcW w:w="9072" w:type="dxa"/>
            <w:shd w:val="clear" w:color="auto" w:fill="59D9CA"/>
          </w:tcPr>
          <w:p w14:paraId="62EC7E36" w14:textId="77777777" w:rsidR="00CF56CC" w:rsidRPr="00036A6E" w:rsidRDefault="00CF56CC" w:rsidP="00FB5FD9">
            <w:pPr>
              <w:rPr>
                <w:rFonts w:ascii="MyriadPro-Regular" w:hAnsi="MyriadPro-Regular" w:cs="Arial"/>
              </w:rPr>
            </w:pPr>
            <w:r w:rsidRPr="00036A6E">
              <w:rPr>
                <w:rFonts w:ascii="MyriadPro-Regular" w:hAnsi="MyriadPro-Regular" w:cs="Arial"/>
                <w:b/>
              </w:rPr>
              <w:t>Acciones</w:t>
            </w:r>
          </w:p>
        </w:tc>
      </w:tr>
      <w:tr w:rsidR="00CF56CC" w:rsidRPr="00036A6E" w14:paraId="73A0EBDB" w14:textId="77777777" w:rsidTr="00CF56CC">
        <w:trPr>
          <w:jc w:val="center"/>
        </w:trPr>
        <w:tc>
          <w:tcPr>
            <w:tcW w:w="9072" w:type="dxa"/>
            <w:shd w:val="clear" w:color="auto" w:fill="auto"/>
          </w:tcPr>
          <w:p w14:paraId="57C9CBEB" w14:textId="77777777" w:rsidR="00CF56CC" w:rsidRPr="00036A6E" w:rsidRDefault="00CF56CC" w:rsidP="00FB5FD9">
            <w:pPr>
              <w:ind w:left="2303" w:hanging="851"/>
              <w:jc w:val="both"/>
              <w:rPr>
                <w:rFonts w:ascii="MyriadPro-Regular" w:hAnsi="MyriadPro-Regular" w:cs="Arial"/>
              </w:rPr>
            </w:pPr>
            <w:r w:rsidRPr="00036A6E">
              <w:rPr>
                <w:rFonts w:ascii="MyriadPro-Regular" w:hAnsi="MyriadPro-Regular" w:cs="Arial"/>
              </w:rPr>
              <w:t xml:space="preserve">6.1.2.1 Desarrollar programas de formación para generar una cultura innovadora y de </w:t>
            </w:r>
            <w:proofErr w:type="spellStart"/>
            <w:r w:rsidRPr="00036A6E">
              <w:rPr>
                <w:rFonts w:ascii="MyriadPro-Regular" w:hAnsi="MyriadPro-Regular" w:cs="Arial"/>
              </w:rPr>
              <w:t>emprendedurismo</w:t>
            </w:r>
            <w:proofErr w:type="spellEnd"/>
            <w:r w:rsidRPr="00036A6E">
              <w:rPr>
                <w:rFonts w:ascii="MyriadPro-Regular" w:hAnsi="MyriadPro-Regular" w:cs="Arial"/>
              </w:rPr>
              <w:t>.</w:t>
            </w:r>
          </w:p>
        </w:tc>
      </w:tr>
      <w:tr w:rsidR="00CF56CC" w:rsidRPr="00036A6E" w14:paraId="32988701" w14:textId="77777777" w:rsidTr="00CF56CC">
        <w:trPr>
          <w:jc w:val="center"/>
        </w:trPr>
        <w:tc>
          <w:tcPr>
            <w:tcW w:w="9072" w:type="dxa"/>
            <w:shd w:val="clear" w:color="auto" w:fill="auto"/>
          </w:tcPr>
          <w:p w14:paraId="7F852990" w14:textId="77777777" w:rsidR="00CF56CC" w:rsidRPr="00036A6E" w:rsidRDefault="00CF56CC" w:rsidP="00FB5FD9">
            <w:pPr>
              <w:ind w:left="2303" w:hanging="851"/>
              <w:jc w:val="both"/>
              <w:rPr>
                <w:rFonts w:ascii="MyriadPro-Regular" w:hAnsi="MyriadPro-Regular" w:cs="Arial"/>
              </w:rPr>
            </w:pPr>
            <w:r w:rsidRPr="00036A6E">
              <w:rPr>
                <w:rFonts w:ascii="MyriadPro-Regular" w:hAnsi="MyriadPro-Regular" w:cs="Arial"/>
              </w:rPr>
              <w:t>6.1.2.2 Vincular a la empresa con la sociedad y el gobierno para la adopción de innovaciones.</w:t>
            </w:r>
          </w:p>
        </w:tc>
      </w:tr>
      <w:tr w:rsidR="00CF56CC" w:rsidRPr="00036A6E" w14:paraId="6843BDB4" w14:textId="77777777" w:rsidTr="00CF56CC">
        <w:trPr>
          <w:jc w:val="center"/>
        </w:trPr>
        <w:tc>
          <w:tcPr>
            <w:tcW w:w="9072" w:type="dxa"/>
            <w:shd w:val="clear" w:color="auto" w:fill="59D9CA"/>
          </w:tcPr>
          <w:p w14:paraId="207FF76C" w14:textId="77777777" w:rsidR="00CF56CC" w:rsidRPr="00036A6E" w:rsidRDefault="00CF56CC" w:rsidP="00FB5FD9">
            <w:pPr>
              <w:ind w:left="1169" w:hanging="992"/>
              <w:rPr>
                <w:rFonts w:ascii="MyriadPro-Regular" w:hAnsi="MyriadPro-Regular" w:cs="Arial"/>
              </w:rPr>
            </w:pPr>
            <w:r w:rsidRPr="00036A6E">
              <w:rPr>
                <w:rFonts w:ascii="MyriadPro-Regular" w:hAnsi="MyriadPro-Regular" w:cs="Arial"/>
                <w:b/>
              </w:rPr>
              <w:t>Línea estratégica</w:t>
            </w:r>
          </w:p>
        </w:tc>
      </w:tr>
      <w:tr w:rsidR="00CF56CC" w:rsidRPr="00036A6E" w14:paraId="240384D9" w14:textId="77777777" w:rsidTr="00CF56CC">
        <w:trPr>
          <w:jc w:val="center"/>
        </w:trPr>
        <w:tc>
          <w:tcPr>
            <w:tcW w:w="9072" w:type="dxa"/>
            <w:shd w:val="clear" w:color="auto" w:fill="auto"/>
          </w:tcPr>
          <w:p w14:paraId="09D18992" w14:textId="77777777" w:rsidR="00CF56CC" w:rsidRPr="00036A6E" w:rsidRDefault="00CF56CC" w:rsidP="00FB5FD9">
            <w:pPr>
              <w:ind w:left="1594" w:hanging="992"/>
              <w:jc w:val="both"/>
              <w:rPr>
                <w:rFonts w:ascii="MyriadPro-Regular" w:hAnsi="MyriadPro-Regular" w:cs="Arial"/>
              </w:rPr>
            </w:pPr>
            <w:r w:rsidRPr="00036A6E">
              <w:rPr>
                <w:rFonts w:ascii="MyriadPro-Regular" w:hAnsi="MyriadPro-Regular" w:cs="Arial"/>
              </w:rPr>
              <w:t>6.1.3 Identificar sectores estratégicos disruptivos para hacer más competitivo nuestro tejido empresarial.</w:t>
            </w:r>
          </w:p>
          <w:p w14:paraId="46975E16" w14:textId="77777777" w:rsidR="00CF56CC" w:rsidRPr="00036A6E" w:rsidRDefault="00CF56CC" w:rsidP="00FB5FD9">
            <w:pPr>
              <w:ind w:left="1594" w:hanging="992"/>
              <w:jc w:val="both"/>
              <w:rPr>
                <w:rFonts w:ascii="MyriadPro-Regular" w:hAnsi="MyriadPro-Regular" w:cs="Arial"/>
              </w:rPr>
            </w:pPr>
          </w:p>
          <w:p w14:paraId="380146BD" w14:textId="77777777" w:rsidR="00CF56CC" w:rsidRPr="00036A6E" w:rsidRDefault="00CF56CC" w:rsidP="00FB5FD9">
            <w:pPr>
              <w:ind w:left="1594" w:hanging="992"/>
              <w:jc w:val="both"/>
              <w:rPr>
                <w:rFonts w:ascii="MyriadPro-Regular" w:hAnsi="MyriadPro-Regular" w:cs="Arial"/>
              </w:rPr>
            </w:pPr>
          </w:p>
        </w:tc>
      </w:tr>
      <w:tr w:rsidR="00CF56CC" w:rsidRPr="00036A6E" w14:paraId="0DBBD0FA" w14:textId="77777777" w:rsidTr="00CF56CC">
        <w:trPr>
          <w:jc w:val="center"/>
        </w:trPr>
        <w:tc>
          <w:tcPr>
            <w:tcW w:w="9072" w:type="dxa"/>
            <w:shd w:val="clear" w:color="auto" w:fill="59D9CA"/>
          </w:tcPr>
          <w:p w14:paraId="360C378C" w14:textId="77777777" w:rsidR="00CF56CC" w:rsidRPr="00036A6E" w:rsidRDefault="00CF56CC" w:rsidP="00FB5FD9">
            <w:pPr>
              <w:ind w:left="1169" w:hanging="992"/>
              <w:rPr>
                <w:rFonts w:ascii="MyriadPro-Regular" w:hAnsi="MyriadPro-Regular" w:cs="Arial"/>
              </w:rPr>
            </w:pPr>
            <w:r w:rsidRPr="00036A6E">
              <w:rPr>
                <w:rFonts w:ascii="MyriadPro-Regular" w:hAnsi="MyriadPro-Regular" w:cs="Arial"/>
                <w:b/>
              </w:rPr>
              <w:t>Acciones</w:t>
            </w:r>
          </w:p>
        </w:tc>
      </w:tr>
      <w:tr w:rsidR="00CF56CC" w:rsidRPr="00036A6E" w14:paraId="0EDBCF90" w14:textId="77777777" w:rsidTr="00CF56CC">
        <w:trPr>
          <w:jc w:val="center"/>
        </w:trPr>
        <w:tc>
          <w:tcPr>
            <w:tcW w:w="9072" w:type="dxa"/>
            <w:shd w:val="clear" w:color="auto" w:fill="auto"/>
          </w:tcPr>
          <w:p w14:paraId="794CB57F" w14:textId="77777777" w:rsidR="00CF56CC" w:rsidRPr="00036A6E" w:rsidRDefault="00CF56CC" w:rsidP="00FB5FD9">
            <w:pPr>
              <w:tabs>
                <w:tab w:val="left" w:pos="884"/>
              </w:tabs>
              <w:ind w:left="2303" w:hanging="851"/>
              <w:jc w:val="both"/>
              <w:rPr>
                <w:rFonts w:ascii="MyriadPro-Regular" w:hAnsi="MyriadPro-Regular" w:cs="Arial"/>
              </w:rPr>
            </w:pPr>
            <w:r w:rsidRPr="00036A6E">
              <w:rPr>
                <w:rFonts w:ascii="MyriadPro-Regular" w:hAnsi="MyriadPro-Regular" w:cs="Arial"/>
              </w:rPr>
              <w:t xml:space="preserve">6.1.3.1 </w:t>
            </w:r>
            <w:r w:rsidRPr="00036A6E">
              <w:rPr>
                <w:rFonts w:ascii="MyriadPro-Regular" w:hAnsi="MyriadPro-Regular" w:cs="Arial"/>
              </w:rPr>
              <w:tab/>
              <w:t xml:space="preserve">Desarrollar mecanismos de detección de talentos específicos y fomentar el </w:t>
            </w:r>
            <w:proofErr w:type="spellStart"/>
            <w:r w:rsidRPr="00036A6E">
              <w:rPr>
                <w:rFonts w:ascii="MyriadPro-Regular" w:hAnsi="MyriadPro-Regular" w:cs="Arial"/>
              </w:rPr>
              <w:t>emprendedurismo</w:t>
            </w:r>
            <w:proofErr w:type="spellEnd"/>
            <w:r w:rsidRPr="00036A6E">
              <w:rPr>
                <w:rFonts w:ascii="MyriadPro-Regular" w:hAnsi="MyriadPro-Regular" w:cs="Arial"/>
              </w:rPr>
              <w:t>.</w:t>
            </w:r>
          </w:p>
        </w:tc>
      </w:tr>
      <w:tr w:rsidR="00CF56CC" w:rsidRPr="00036A6E" w14:paraId="6FCDF1D9" w14:textId="77777777" w:rsidTr="00CF56CC">
        <w:trPr>
          <w:jc w:val="center"/>
        </w:trPr>
        <w:tc>
          <w:tcPr>
            <w:tcW w:w="9072" w:type="dxa"/>
            <w:shd w:val="clear" w:color="auto" w:fill="auto"/>
          </w:tcPr>
          <w:p w14:paraId="21B675B2" w14:textId="77777777" w:rsidR="00CF56CC" w:rsidRPr="00036A6E" w:rsidRDefault="00CF56CC" w:rsidP="00FB5FD9">
            <w:pPr>
              <w:tabs>
                <w:tab w:val="left" w:pos="884"/>
              </w:tabs>
              <w:ind w:left="2303" w:hanging="851"/>
              <w:jc w:val="both"/>
              <w:rPr>
                <w:rFonts w:ascii="MyriadPro-Regular" w:hAnsi="MyriadPro-Regular" w:cs="Arial"/>
              </w:rPr>
            </w:pPr>
            <w:r w:rsidRPr="00036A6E">
              <w:rPr>
                <w:rFonts w:ascii="MyriadPro-Regular" w:hAnsi="MyriadPro-Regular" w:cs="Arial"/>
              </w:rPr>
              <w:t xml:space="preserve">6.1.3.2 </w:t>
            </w:r>
            <w:r w:rsidRPr="00036A6E">
              <w:rPr>
                <w:rFonts w:ascii="MyriadPro-Regular" w:hAnsi="MyriadPro-Regular" w:cs="Arial"/>
              </w:rPr>
              <w:tab/>
              <w:t>Desarrollar polígonos de innovación para incentivar el desarrollo regional, crear empleos e inversión estratégica.</w:t>
            </w:r>
          </w:p>
        </w:tc>
      </w:tr>
      <w:tr w:rsidR="00CF56CC" w:rsidRPr="00036A6E" w14:paraId="5AE423D5" w14:textId="77777777" w:rsidTr="00CF56CC">
        <w:trPr>
          <w:jc w:val="center"/>
        </w:trPr>
        <w:tc>
          <w:tcPr>
            <w:tcW w:w="9072" w:type="dxa"/>
            <w:shd w:val="clear" w:color="auto" w:fill="67D7BA"/>
          </w:tcPr>
          <w:p w14:paraId="4AC3F6E9" w14:textId="77777777" w:rsidR="00CF56CC" w:rsidRPr="00036A6E" w:rsidRDefault="00CF56CC" w:rsidP="00FB5FD9">
            <w:pPr>
              <w:rPr>
                <w:rFonts w:ascii="MyriadPro-Regular" w:hAnsi="MyriadPro-Regular" w:cs="Arial"/>
                <w:b/>
              </w:rPr>
            </w:pPr>
            <w:r w:rsidRPr="00036A6E">
              <w:rPr>
                <w:rFonts w:ascii="MyriadPro-Regular" w:hAnsi="MyriadPro-Regular" w:cs="Arial"/>
                <w:b/>
              </w:rPr>
              <w:t>Objetivo</w:t>
            </w:r>
          </w:p>
        </w:tc>
      </w:tr>
      <w:tr w:rsidR="00CF56CC" w:rsidRPr="00036A6E" w14:paraId="07E09E45" w14:textId="77777777" w:rsidTr="00CF56CC">
        <w:trPr>
          <w:jc w:val="center"/>
        </w:trPr>
        <w:tc>
          <w:tcPr>
            <w:tcW w:w="9072" w:type="dxa"/>
            <w:shd w:val="clear" w:color="auto" w:fill="auto"/>
          </w:tcPr>
          <w:p w14:paraId="7D3F7E63" w14:textId="77777777" w:rsidR="00CF56CC" w:rsidRPr="00036A6E" w:rsidRDefault="00CF56CC" w:rsidP="00FB5FD9">
            <w:pPr>
              <w:pStyle w:val="Prrafodelista"/>
              <w:shd w:val="clear" w:color="auto" w:fill="FFFFFF" w:themeFill="background1"/>
              <w:ind w:left="525" w:hanging="478"/>
              <w:jc w:val="both"/>
              <w:rPr>
                <w:rFonts w:ascii="MyriadPro-Regular" w:hAnsi="MyriadPro-Regular" w:cs="Arial"/>
                <w:sz w:val="20"/>
                <w:szCs w:val="20"/>
              </w:rPr>
            </w:pPr>
            <w:r w:rsidRPr="00036A6E">
              <w:rPr>
                <w:rFonts w:ascii="MyriadPro-Regular" w:hAnsi="MyriadPro-Regular" w:cs="Arial"/>
                <w:sz w:val="20"/>
                <w:szCs w:val="20"/>
              </w:rPr>
              <w:t>6.2 Fortalecer las capacidades científicas y desarrollar capacidades tecnológicas.</w:t>
            </w:r>
          </w:p>
        </w:tc>
      </w:tr>
      <w:tr w:rsidR="00CF56CC" w:rsidRPr="00036A6E" w14:paraId="43465E72" w14:textId="77777777" w:rsidTr="00CF56CC">
        <w:trPr>
          <w:jc w:val="center"/>
        </w:trPr>
        <w:tc>
          <w:tcPr>
            <w:tcW w:w="9072" w:type="dxa"/>
            <w:shd w:val="clear" w:color="auto" w:fill="67D7BA"/>
          </w:tcPr>
          <w:p w14:paraId="4F246BBF" w14:textId="77777777" w:rsidR="00CF56CC" w:rsidRPr="00036A6E" w:rsidRDefault="00CF56CC" w:rsidP="00FB5FD9">
            <w:pPr>
              <w:rPr>
                <w:rFonts w:ascii="MyriadPro-Regular" w:hAnsi="MyriadPro-Regular" w:cs="Arial"/>
              </w:rPr>
            </w:pPr>
            <w:r w:rsidRPr="00036A6E">
              <w:rPr>
                <w:rFonts w:ascii="MyriadPro-Regular" w:hAnsi="MyriadPro-Regular" w:cs="Arial"/>
                <w:b/>
              </w:rPr>
              <w:t>Línea estratégica</w:t>
            </w:r>
          </w:p>
        </w:tc>
      </w:tr>
      <w:tr w:rsidR="00CF56CC" w:rsidRPr="00036A6E" w14:paraId="4D4CF956" w14:textId="77777777" w:rsidTr="00CF56CC">
        <w:trPr>
          <w:jc w:val="center"/>
        </w:trPr>
        <w:tc>
          <w:tcPr>
            <w:tcW w:w="9072" w:type="dxa"/>
            <w:shd w:val="clear" w:color="auto" w:fill="auto"/>
          </w:tcPr>
          <w:p w14:paraId="7DA21001" w14:textId="77777777" w:rsidR="00CF56CC" w:rsidRPr="00036A6E" w:rsidRDefault="00CF56CC" w:rsidP="00FB5FD9">
            <w:pPr>
              <w:pStyle w:val="Prrafodelista"/>
              <w:ind w:left="1169" w:hanging="644"/>
              <w:jc w:val="both"/>
              <w:rPr>
                <w:rFonts w:ascii="MyriadPro-Regular" w:hAnsi="MyriadPro-Regular" w:cs="Arial"/>
                <w:b/>
                <w:sz w:val="20"/>
                <w:szCs w:val="20"/>
              </w:rPr>
            </w:pPr>
            <w:r w:rsidRPr="00036A6E">
              <w:rPr>
                <w:rFonts w:ascii="MyriadPro-Regular" w:hAnsi="MyriadPro-Regular" w:cs="Arial"/>
                <w:sz w:val="20"/>
                <w:szCs w:val="20"/>
              </w:rPr>
              <w:t>6.2.1 Impulsar la ciencia básica y aplicada y el desarrollo de las capacidades tecnológicas.</w:t>
            </w:r>
          </w:p>
        </w:tc>
      </w:tr>
      <w:tr w:rsidR="00CF56CC" w:rsidRPr="00036A6E" w14:paraId="14A77FAE" w14:textId="77777777" w:rsidTr="00CF56CC">
        <w:trPr>
          <w:jc w:val="center"/>
        </w:trPr>
        <w:tc>
          <w:tcPr>
            <w:tcW w:w="9072" w:type="dxa"/>
            <w:shd w:val="clear" w:color="auto" w:fill="67D7BA"/>
          </w:tcPr>
          <w:p w14:paraId="1D064591" w14:textId="77777777" w:rsidR="00CF56CC" w:rsidRPr="00036A6E" w:rsidRDefault="00CF56CC" w:rsidP="00FB5FD9">
            <w:pPr>
              <w:rPr>
                <w:rFonts w:ascii="MyriadPro-Regular" w:hAnsi="MyriadPro-Regular" w:cs="Arial"/>
              </w:rPr>
            </w:pPr>
            <w:r w:rsidRPr="00036A6E">
              <w:rPr>
                <w:rFonts w:ascii="MyriadPro-Regular" w:hAnsi="MyriadPro-Regular" w:cs="Arial"/>
                <w:b/>
              </w:rPr>
              <w:t>Acciones</w:t>
            </w:r>
          </w:p>
        </w:tc>
      </w:tr>
      <w:tr w:rsidR="00CF56CC" w:rsidRPr="00036A6E" w14:paraId="5B3D12BA" w14:textId="77777777" w:rsidTr="00CF56CC">
        <w:trPr>
          <w:jc w:val="center"/>
        </w:trPr>
        <w:tc>
          <w:tcPr>
            <w:tcW w:w="9072" w:type="dxa"/>
            <w:shd w:val="clear" w:color="auto" w:fill="auto"/>
          </w:tcPr>
          <w:p w14:paraId="78D9EBEE" w14:textId="77777777" w:rsidR="00CF56CC" w:rsidRPr="00036A6E" w:rsidRDefault="00CF56CC" w:rsidP="00FB5FD9">
            <w:pPr>
              <w:tabs>
                <w:tab w:val="left" w:pos="884"/>
              </w:tabs>
              <w:ind w:left="2303" w:hanging="851"/>
              <w:jc w:val="both"/>
              <w:rPr>
                <w:rFonts w:ascii="MyriadPro-Regular" w:hAnsi="MyriadPro-Regular" w:cs="Arial"/>
              </w:rPr>
            </w:pPr>
            <w:r w:rsidRPr="00036A6E">
              <w:rPr>
                <w:rFonts w:ascii="MyriadPro-Regular" w:hAnsi="MyriadPro-Regular" w:cs="Arial"/>
              </w:rPr>
              <w:t xml:space="preserve">6.2.1.1 </w:t>
            </w:r>
            <w:r w:rsidRPr="00036A6E">
              <w:rPr>
                <w:rFonts w:ascii="MyriadPro-Regular" w:hAnsi="MyriadPro-Regular" w:cs="Arial"/>
              </w:rPr>
              <w:tab/>
              <w:t>Fomentar la investigación de frontera, la formación de recursos humanos especializados, la infraestructura y los servicios.</w:t>
            </w:r>
          </w:p>
        </w:tc>
      </w:tr>
      <w:tr w:rsidR="00CF56CC" w:rsidRPr="00036A6E" w14:paraId="3001B21F" w14:textId="77777777" w:rsidTr="00CF56CC">
        <w:trPr>
          <w:jc w:val="center"/>
        </w:trPr>
        <w:tc>
          <w:tcPr>
            <w:tcW w:w="9072" w:type="dxa"/>
            <w:shd w:val="clear" w:color="auto" w:fill="auto"/>
          </w:tcPr>
          <w:p w14:paraId="510460C8" w14:textId="77777777" w:rsidR="00CF56CC" w:rsidRPr="00036A6E" w:rsidRDefault="00CF56CC" w:rsidP="00FB5FD9">
            <w:pPr>
              <w:tabs>
                <w:tab w:val="left" w:pos="872"/>
              </w:tabs>
              <w:ind w:left="2303" w:hanging="851"/>
              <w:jc w:val="both"/>
              <w:rPr>
                <w:rFonts w:ascii="MyriadPro-Regular" w:hAnsi="MyriadPro-Regular" w:cs="Arial"/>
              </w:rPr>
            </w:pPr>
            <w:r w:rsidRPr="00036A6E">
              <w:rPr>
                <w:rFonts w:ascii="MyriadPro-Regular" w:hAnsi="MyriadPro-Regular" w:cs="Arial"/>
              </w:rPr>
              <w:t xml:space="preserve">6.2.1.2 </w:t>
            </w:r>
            <w:r w:rsidRPr="00036A6E">
              <w:rPr>
                <w:rFonts w:ascii="MyriadPro-Regular" w:hAnsi="MyriadPro-Regular" w:cs="Arial"/>
              </w:rPr>
              <w:tab/>
              <w:t>Estimular intercambios académicos y becas para jóvenes talento y profesores.</w:t>
            </w:r>
          </w:p>
        </w:tc>
      </w:tr>
      <w:tr w:rsidR="00CF56CC" w:rsidRPr="00036A6E" w14:paraId="48526423" w14:textId="77777777" w:rsidTr="00CF56CC">
        <w:trPr>
          <w:jc w:val="center"/>
        </w:trPr>
        <w:tc>
          <w:tcPr>
            <w:tcW w:w="9072" w:type="dxa"/>
            <w:shd w:val="clear" w:color="auto" w:fill="auto"/>
          </w:tcPr>
          <w:p w14:paraId="4C1B2474" w14:textId="77777777" w:rsidR="00CF56CC" w:rsidRPr="00036A6E" w:rsidRDefault="00CF56CC" w:rsidP="00FB5FD9">
            <w:pPr>
              <w:ind w:left="2303" w:hanging="851"/>
              <w:jc w:val="both"/>
              <w:rPr>
                <w:rFonts w:ascii="MyriadPro-Regular" w:hAnsi="MyriadPro-Regular" w:cs="Arial"/>
              </w:rPr>
            </w:pPr>
            <w:r w:rsidRPr="00036A6E">
              <w:rPr>
                <w:rFonts w:ascii="MyriadPro-Regular" w:hAnsi="MyriadPro-Regular" w:cs="Arial"/>
              </w:rPr>
              <w:t>6.2.1.3 Promover acciones de extensión y vinculación científica con intercambios y proyectos internacionales.</w:t>
            </w:r>
          </w:p>
        </w:tc>
      </w:tr>
      <w:tr w:rsidR="00CF56CC" w:rsidRPr="00036A6E" w14:paraId="56C3EC89" w14:textId="77777777" w:rsidTr="00CF56CC">
        <w:trPr>
          <w:trHeight w:val="606"/>
          <w:jc w:val="center"/>
        </w:trPr>
        <w:tc>
          <w:tcPr>
            <w:tcW w:w="9072" w:type="dxa"/>
            <w:shd w:val="clear" w:color="auto" w:fill="auto"/>
          </w:tcPr>
          <w:p w14:paraId="1BD85F12" w14:textId="77777777" w:rsidR="00CF56CC" w:rsidRPr="00036A6E" w:rsidRDefault="00CF56CC" w:rsidP="00FB5FD9">
            <w:pPr>
              <w:ind w:left="2303" w:hanging="851"/>
              <w:jc w:val="both"/>
              <w:rPr>
                <w:rFonts w:ascii="MyriadPro-Regular" w:hAnsi="MyriadPro-Regular" w:cs="Arial"/>
              </w:rPr>
            </w:pPr>
            <w:r w:rsidRPr="00036A6E">
              <w:rPr>
                <w:rFonts w:ascii="MyriadPro-Regular" w:hAnsi="MyriadPro-Regular" w:cs="Arial"/>
              </w:rPr>
              <w:t>6.2.1.4 Difundir, divulgar e impulsar la ciencia básica y aplicada para su apropiación social.</w:t>
            </w:r>
          </w:p>
        </w:tc>
      </w:tr>
      <w:tr w:rsidR="00CF56CC" w:rsidRPr="00036A6E" w14:paraId="4597E5E0" w14:textId="77777777" w:rsidTr="00CF56CC">
        <w:trPr>
          <w:trHeight w:val="274"/>
          <w:jc w:val="center"/>
        </w:trPr>
        <w:tc>
          <w:tcPr>
            <w:tcW w:w="9072" w:type="dxa"/>
            <w:shd w:val="clear" w:color="auto" w:fill="auto"/>
          </w:tcPr>
          <w:p w14:paraId="35562A0C" w14:textId="77777777" w:rsidR="00CF56CC" w:rsidRPr="00036A6E" w:rsidRDefault="00CF56CC" w:rsidP="00FB5FD9">
            <w:pPr>
              <w:ind w:left="2303" w:hanging="851"/>
              <w:jc w:val="both"/>
              <w:rPr>
                <w:rFonts w:ascii="MyriadPro-Regular" w:hAnsi="MyriadPro-Regular" w:cs="Arial"/>
              </w:rPr>
            </w:pPr>
            <w:r w:rsidRPr="00036A6E">
              <w:rPr>
                <w:rFonts w:ascii="MyriadPro-Regular" w:hAnsi="MyriadPro-Regular" w:cs="Arial"/>
              </w:rPr>
              <w:t>6.2.1.5 Desarrollar, transferir y asimilar tecnologías de punta que promuevan  la competitividad.</w:t>
            </w:r>
          </w:p>
        </w:tc>
      </w:tr>
      <w:tr w:rsidR="00CF56CC" w:rsidRPr="00036A6E" w14:paraId="030DB14F" w14:textId="77777777" w:rsidTr="00CF56CC">
        <w:trPr>
          <w:trHeight w:val="562"/>
          <w:jc w:val="center"/>
        </w:trPr>
        <w:tc>
          <w:tcPr>
            <w:tcW w:w="9072" w:type="dxa"/>
            <w:shd w:val="clear" w:color="auto" w:fill="auto"/>
          </w:tcPr>
          <w:p w14:paraId="6F5AA235" w14:textId="77777777" w:rsidR="00CF56CC" w:rsidRPr="00036A6E" w:rsidRDefault="00CF56CC" w:rsidP="00FB5FD9">
            <w:pPr>
              <w:ind w:left="2303" w:hanging="851"/>
              <w:jc w:val="both"/>
              <w:rPr>
                <w:rFonts w:ascii="MyriadPro-Regular" w:hAnsi="MyriadPro-Regular" w:cs="Arial"/>
              </w:rPr>
            </w:pPr>
            <w:r w:rsidRPr="00036A6E">
              <w:rPr>
                <w:rFonts w:ascii="MyriadPro-Regular" w:hAnsi="MyriadPro-Regular" w:cs="Arial"/>
              </w:rPr>
              <w:t xml:space="preserve">6.2.1.6 Promover mecanismos para la generación del patrimonio tecnológico, procedimientos, fórmulas, prototipos científicos y demás propiedades intelectuales, así como conocimientos libres que aporten al desarrollo tecnológico. </w:t>
            </w:r>
          </w:p>
        </w:tc>
      </w:tr>
      <w:tr w:rsidR="00CF56CC" w:rsidRPr="00036A6E" w14:paraId="2A3110A4" w14:textId="77777777" w:rsidTr="00CF56CC">
        <w:trPr>
          <w:jc w:val="center"/>
        </w:trPr>
        <w:tc>
          <w:tcPr>
            <w:tcW w:w="9072" w:type="dxa"/>
            <w:shd w:val="clear" w:color="auto" w:fill="67D7BA"/>
          </w:tcPr>
          <w:p w14:paraId="3F57E676" w14:textId="77777777" w:rsidR="00CF56CC" w:rsidRPr="00036A6E" w:rsidRDefault="00CF56CC" w:rsidP="00FB5FD9">
            <w:pPr>
              <w:rPr>
                <w:rFonts w:ascii="MyriadPro-Regular" w:hAnsi="MyriadPro-Regular" w:cs="Arial"/>
              </w:rPr>
            </w:pPr>
            <w:r w:rsidRPr="00036A6E">
              <w:rPr>
                <w:rFonts w:ascii="MyriadPro-Regular" w:hAnsi="MyriadPro-Regular" w:cs="Arial"/>
                <w:b/>
              </w:rPr>
              <w:lastRenderedPageBreak/>
              <w:t>Línea estratégica</w:t>
            </w:r>
          </w:p>
        </w:tc>
      </w:tr>
      <w:tr w:rsidR="00CF56CC" w:rsidRPr="00036A6E" w14:paraId="695AB125" w14:textId="77777777" w:rsidTr="00CF56CC">
        <w:trPr>
          <w:jc w:val="center"/>
        </w:trPr>
        <w:tc>
          <w:tcPr>
            <w:tcW w:w="9072" w:type="dxa"/>
            <w:shd w:val="clear" w:color="auto" w:fill="auto"/>
          </w:tcPr>
          <w:p w14:paraId="375830E8" w14:textId="77777777" w:rsidR="00CF56CC" w:rsidRPr="00036A6E" w:rsidRDefault="00CF56CC" w:rsidP="00FB5FD9">
            <w:pPr>
              <w:ind w:left="487"/>
              <w:jc w:val="both"/>
              <w:rPr>
                <w:rFonts w:ascii="MyriadPro-Regular" w:hAnsi="MyriadPro-Regular" w:cs="Arial"/>
              </w:rPr>
            </w:pPr>
            <w:r w:rsidRPr="00036A6E">
              <w:rPr>
                <w:rFonts w:ascii="MyriadPro-Regular" w:hAnsi="MyriadPro-Regular" w:cs="Arial"/>
              </w:rPr>
              <w:t>6.2.2 Crear infraestructura para la difusión científica.</w:t>
            </w:r>
          </w:p>
          <w:p w14:paraId="4D58F924" w14:textId="77777777" w:rsidR="00CF56CC" w:rsidRPr="00036A6E" w:rsidRDefault="00CF56CC" w:rsidP="00FB5FD9">
            <w:pPr>
              <w:ind w:left="487"/>
              <w:jc w:val="both"/>
              <w:rPr>
                <w:rFonts w:ascii="MyriadPro-Regular" w:hAnsi="MyriadPro-Regular" w:cs="Arial"/>
                <w:b/>
              </w:rPr>
            </w:pPr>
          </w:p>
        </w:tc>
      </w:tr>
      <w:tr w:rsidR="00CF56CC" w:rsidRPr="00036A6E" w14:paraId="6808016E" w14:textId="77777777" w:rsidTr="00CF56CC">
        <w:trPr>
          <w:jc w:val="center"/>
        </w:trPr>
        <w:tc>
          <w:tcPr>
            <w:tcW w:w="9072" w:type="dxa"/>
            <w:shd w:val="clear" w:color="auto" w:fill="67D7BA"/>
          </w:tcPr>
          <w:p w14:paraId="574AB4D4" w14:textId="77777777" w:rsidR="00CF56CC" w:rsidRPr="00036A6E" w:rsidRDefault="00CF56CC" w:rsidP="00FB5FD9">
            <w:pPr>
              <w:rPr>
                <w:rFonts w:ascii="MyriadPro-Regular" w:hAnsi="MyriadPro-Regular" w:cs="Arial"/>
              </w:rPr>
            </w:pPr>
            <w:r w:rsidRPr="00036A6E">
              <w:rPr>
                <w:rFonts w:ascii="MyriadPro-Regular" w:hAnsi="MyriadPro-Regular" w:cs="Arial"/>
                <w:b/>
              </w:rPr>
              <w:t>Acciones</w:t>
            </w:r>
          </w:p>
        </w:tc>
      </w:tr>
      <w:tr w:rsidR="00CF56CC" w:rsidRPr="00036A6E" w14:paraId="27659DE7" w14:textId="77777777" w:rsidTr="00CF56CC">
        <w:trPr>
          <w:jc w:val="center"/>
        </w:trPr>
        <w:tc>
          <w:tcPr>
            <w:tcW w:w="9072" w:type="dxa"/>
            <w:shd w:val="clear" w:color="auto" w:fill="auto"/>
          </w:tcPr>
          <w:p w14:paraId="162BBFB1" w14:textId="77777777" w:rsidR="00CF56CC" w:rsidRPr="00036A6E" w:rsidRDefault="00CF56CC" w:rsidP="00FB5FD9">
            <w:pPr>
              <w:tabs>
                <w:tab w:val="left" w:pos="908"/>
              </w:tabs>
              <w:ind w:left="2303" w:hanging="851"/>
              <w:jc w:val="both"/>
              <w:rPr>
                <w:rFonts w:ascii="MyriadPro-Regular" w:hAnsi="MyriadPro-Regular" w:cs="Arial"/>
              </w:rPr>
            </w:pPr>
            <w:r w:rsidRPr="00036A6E">
              <w:rPr>
                <w:rFonts w:ascii="MyriadPro-Regular" w:hAnsi="MyriadPro-Regular" w:cs="Arial"/>
              </w:rPr>
              <w:t xml:space="preserve">6.2.2.1 </w:t>
            </w:r>
            <w:r w:rsidRPr="00036A6E">
              <w:rPr>
                <w:rFonts w:ascii="MyriadPro-Regular" w:hAnsi="MyriadPro-Regular" w:cs="Arial"/>
              </w:rPr>
              <w:tab/>
              <w:t>Promover la construcción de un Museo Centro Interactivo de la Ciencia y la Tecnología con el apoyo del Consejo Nacional de Ciencia y Tecnología   y en alianza con institutos de ciencia y tecnología internacionales para la promoción del conocimiento científico.</w:t>
            </w:r>
          </w:p>
        </w:tc>
      </w:tr>
      <w:tr w:rsidR="00CF56CC" w:rsidRPr="00036A6E" w14:paraId="1AF4C47C" w14:textId="77777777" w:rsidTr="00CF56CC">
        <w:trPr>
          <w:jc w:val="center"/>
        </w:trPr>
        <w:tc>
          <w:tcPr>
            <w:tcW w:w="9072" w:type="dxa"/>
            <w:shd w:val="clear" w:color="auto" w:fill="32C09B"/>
          </w:tcPr>
          <w:p w14:paraId="00676E07" w14:textId="77777777" w:rsidR="00CF56CC" w:rsidRPr="00036A6E" w:rsidRDefault="00CF56CC" w:rsidP="00FB5FD9">
            <w:pPr>
              <w:rPr>
                <w:rFonts w:ascii="MyriadPro-Regular" w:hAnsi="MyriadPro-Regular" w:cs="Arial"/>
                <w:color w:val="FFFFFF" w:themeColor="background1"/>
              </w:rPr>
            </w:pPr>
            <w:r w:rsidRPr="00036A6E">
              <w:rPr>
                <w:rFonts w:ascii="MyriadPro-Regular" w:hAnsi="MyriadPro-Regular" w:cs="Arial"/>
                <w:b/>
                <w:color w:val="FFFFFF" w:themeColor="background1"/>
              </w:rPr>
              <w:t>Objetivo</w:t>
            </w:r>
          </w:p>
        </w:tc>
      </w:tr>
      <w:tr w:rsidR="00CF56CC" w:rsidRPr="00036A6E" w14:paraId="342A0B16" w14:textId="77777777" w:rsidTr="00CF56CC">
        <w:trPr>
          <w:jc w:val="center"/>
        </w:trPr>
        <w:tc>
          <w:tcPr>
            <w:tcW w:w="9072" w:type="dxa"/>
            <w:shd w:val="clear" w:color="auto" w:fill="auto"/>
          </w:tcPr>
          <w:p w14:paraId="3B227688" w14:textId="77777777" w:rsidR="00CF56CC" w:rsidRPr="00036A6E" w:rsidRDefault="00CF56CC" w:rsidP="00FB5FD9">
            <w:pPr>
              <w:ind w:left="454" w:hanging="454"/>
              <w:jc w:val="both"/>
              <w:rPr>
                <w:rFonts w:ascii="MyriadPro-Regular" w:hAnsi="MyriadPro-Regular" w:cs="Arial"/>
              </w:rPr>
            </w:pPr>
            <w:r w:rsidRPr="00036A6E">
              <w:rPr>
                <w:rFonts w:ascii="MyriadPro-Regular" w:hAnsi="MyriadPro-Regular" w:cs="Arial"/>
              </w:rPr>
              <w:t>6.3 Posicionar a Michoacán a nivel internacional.</w:t>
            </w:r>
          </w:p>
        </w:tc>
      </w:tr>
      <w:tr w:rsidR="00CF56CC" w:rsidRPr="00036A6E" w14:paraId="068AB502" w14:textId="77777777" w:rsidTr="00CF56CC">
        <w:trPr>
          <w:jc w:val="center"/>
        </w:trPr>
        <w:tc>
          <w:tcPr>
            <w:tcW w:w="9072" w:type="dxa"/>
            <w:shd w:val="clear" w:color="auto" w:fill="32C09B"/>
          </w:tcPr>
          <w:p w14:paraId="4BF81000" w14:textId="77777777" w:rsidR="00CF56CC" w:rsidRPr="00036A6E" w:rsidRDefault="00CF56CC" w:rsidP="00FB5FD9">
            <w:pPr>
              <w:rPr>
                <w:rFonts w:ascii="MyriadPro-Regular" w:hAnsi="MyriadPro-Regular" w:cs="Arial"/>
                <w:color w:val="FFFFFF" w:themeColor="background1"/>
              </w:rPr>
            </w:pPr>
            <w:r w:rsidRPr="00036A6E">
              <w:rPr>
                <w:rFonts w:ascii="MyriadPro-Regular" w:hAnsi="MyriadPro-Regular" w:cs="Arial"/>
                <w:b/>
                <w:color w:val="FFFFFF" w:themeColor="background1"/>
              </w:rPr>
              <w:t>Línea estratégica</w:t>
            </w:r>
          </w:p>
        </w:tc>
      </w:tr>
      <w:tr w:rsidR="00CF56CC" w:rsidRPr="00036A6E" w14:paraId="717C4363" w14:textId="77777777" w:rsidTr="00CF56CC">
        <w:trPr>
          <w:jc w:val="center"/>
        </w:trPr>
        <w:tc>
          <w:tcPr>
            <w:tcW w:w="9072" w:type="dxa"/>
            <w:shd w:val="clear" w:color="auto" w:fill="auto"/>
          </w:tcPr>
          <w:p w14:paraId="124EBB83" w14:textId="77777777" w:rsidR="00CF56CC" w:rsidRPr="00036A6E" w:rsidRDefault="00CF56CC" w:rsidP="00FB5FD9">
            <w:pPr>
              <w:ind w:left="1163" w:hanging="567"/>
              <w:jc w:val="both"/>
              <w:rPr>
                <w:rFonts w:ascii="MyriadPro-Regular" w:hAnsi="MyriadPro-Regular" w:cs="Arial"/>
              </w:rPr>
            </w:pPr>
            <w:r w:rsidRPr="00036A6E">
              <w:rPr>
                <w:rFonts w:ascii="MyriadPro-Regular" w:hAnsi="MyriadPro-Regular" w:cs="Arial"/>
              </w:rPr>
              <w:t>6.3.1 Promover al Estado en el extranjero para atraer inversiones estratégicas y cooperación internacional para el desarrollo integral y sustentable.</w:t>
            </w:r>
          </w:p>
        </w:tc>
      </w:tr>
      <w:tr w:rsidR="00CF56CC" w:rsidRPr="00036A6E" w14:paraId="6BDBD247" w14:textId="77777777" w:rsidTr="00CF56CC">
        <w:trPr>
          <w:jc w:val="center"/>
        </w:trPr>
        <w:tc>
          <w:tcPr>
            <w:tcW w:w="9072" w:type="dxa"/>
            <w:shd w:val="clear" w:color="auto" w:fill="32C09B"/>
          </w:tcPr>
          <w:p w14:paraId="47323303" w14:textId="77777777" w:rsidR="00CF56CC" w:rsidRPr="00036A6E" w:rsidRDefault="00CF56CC" w:rsidP="00FB5FD9">
            <w:pPr>
              <w:rPr>
                <w:rFonts w:ascii="MyriadPro-Regular" w:hAnsi="MyriadPro-Regular" w:cs="Arial"/>
                <w:color w:val="FFFFFF" w:themeColor="background1"/>
              </w:rPr>
            </w:pPr>
            <w:r w:rsidRPr="00036A6E">
              <w:rPr>
                <w:rFonts w:ascii="MyriadPro-Regular" w:hAnsi="MyriadPro-Regular" w:cs="Arial"/>
                <w:b/>
                <w:color w:val="FFFFFF" w:themeColor="background1"/>
              </w:rPr>
              <w:t>Acciones</w:t>
            </w:r>
          </w:p>
        </w:tc>
      </w:tr>
      <w:tr w:rsidR="00CF56CC" w:rsidRPr="00036A6E" w14:paraId="1B698F26" w14:textId="77777777" w:rsidTr="00CF56CC">
        <w:trPr>
          <w:jc w:val="center"/>
        </w:trPr>
        <w:tc>
          <w:tcPr>
            <w:tcW w:w="9072" w:type="dxa"/>
            <w:shd w:val="clear" w:color="auto" w:fill="auto"/>
          </w:tcPr>
          <w:p w14:paraId="6B1EE5FA" w14:textId="77777777" w:rsidR="00CF56CC" w:rsidRPr="00036A6E" w:rsidRDefault="00CF56CC" w:rsidP="00FB5FD9">
            <w:pPr>
              <w:ind w:left="1985" w:hanging="851"/>
              <w:jc w:val="both"/>
              <w:rPr>
                <w:rFonts w:ascii="MyriadPro-Regular" w:hAnsi="MyriadPro-Regular" w:cs="Arial"/>
              </w:rPr>
            </w:pPr>
            <w:r w:rsidRPr="00036A6E">
              <w:rPr>
                <w:rFonts w:ascii="MyriadPro-Regular" w:hAnsi="MyriadPro-Regular" w:cs="Arial"/>
              </w:rPr>
              <w:t>6.3.1.1 Implementar estrategias de atracción de inversiones que contribuyan al desarrollo económico y social del Estado.</w:t>
            </w:r>
          </w:p>
        </w:tc>
      </w:tr>
      <w:tr w:rsidR="00CF56CC" w:rsidRPr="00036A6E" w14:paraId="540173C1" w14:textId="77777777" w:rsidTr="00CF56CC">
        <w:trPr>
          <w:jc w:val="center"/>
        </w:trPr>
        <w:tc>
          <w:tcPr>
            <w:tcW w:w="9072" w:type="dxa"/>
            <w:shd w:val="clear" w:color="auto" w:fill="auto"/>
          </w:tcPr>
          <w:p w14:paraId="3BA56ADD" w14:textId="77777777" w:rsidR="00CF56CC" w:rsidRPr="00036A6E" w:rsidRDefault="00CF56CC" w:rsidP="00FB5FD9">
            <w:pPr>
              <w:ind w:left="1985" w:hanging="851"/>
              <w:jc w:val="both"/>
              <w:rPr>
                <w:rFonts w:ascii="MyriadPro-Regular" w:hAnsi="MyriadPro-Regular" w:cs="Arial"/>
              </w:rPr>
            </w:pPr>
            <w:r w:rsidRPr="00036A6E">
              <w:rPr>
                <w:rFonts w:ascii="MyriadPro-Regular" w:hAnsi="MyriadPro-Regular" w:cs="Arial"/>
              </w:rPr>
              <w:t>6.3.1.2. Crear redes internacionales de conocimiento e intercambio cultural, promover la movilidad de creadores, productores y gestores culturales, añadir valor a los bienes culturales tangibles e intangibles y difundir la multiculturalidad y biodiversidad del Estado.</w:t>
            </w:r>
          </w:p>
        </w:tc>
      </w:tr>
      <w:tr w:rsidR="00CF56CC" w:rsidRPr="00036A6E" w14:paraId="02A5E74C" w14:textId="77777777" w:rsidTr="00CF56CC">
        <w:trPr>
          <w:jc w:val="center"/>
        </w:trPr>
        <w:tc>
          <w:tcPr>
            <w:tcW w:w="9072" w:type="dxa"/>
            <w:shd w:val="clear" w:color="auto" w:fill="auto"/>
          </w:tcPr>
          <w:p w14:paraId="56C29A4A" w14:textId="77777777" w:rsidR="00CF56CC" w:rsidRPr="00036A6E" w:rsidRDefault="00CF56CC" w:rsidP="00FB5FD9">
            <w:pPr>
              <w:ind w:left="1985" w:hanging="851"/>
              <w:jc w:val="both"/>
              <w:rPr>
                <w:rFonts w:ascii="MyriadPro-Regular" w:hAnsi="MyriadPro-Regular" w:cs="Arial"/>
              </w:rPr>
            </w:pPr>
            <w:r w:rsidRPr="00036A6E">
              <w:rPr>
                <w:rFonts w:ascii="MyriadPro-Regular" w:hAnsi="MyriadPro-Regular" w:cs="Arial"/>
              </w:rPr>
              <w:t>6.3.1.3 Promover la cooperación internacional para el desarrollo integral del Estado con el fin de impulsar el progreso económico, turístico, social, cultural y tecnológico.</w:t>
            </w:r>
          </w:p>
        </w:tc>
      </w:tr>
    </w:tbl>
    <w:p w14:paraId="31A6FCFE" w14:textId="77777777" w:rsidR="00CF56CC" w:rsidRPr="00CF56CC" w:rsidRDefault="00CF56CC" w:rsidP="00CF56CC">
      <w:pPr>
        <w:spacing w:after="240"/>
        <w:jc w:val="both"/>
        <w:rPr>
          <w:rFonts w:ascii="GalanoGrotesque-Medium" w:eastAsia="Times New Roman" w:hAnsi="GalanoGrotesque-Medium" w:cs="Arial"/>
          <w:sz w:val="24"/>
          <w:szCs w:val="24"/>
          <w:lang w:val="es-ES" w:eastAsia="es-ES"/>
        </w:rPr>
      </w:pPr>
    </w:p>
    <w:p w14:paraId="6E446075" w14:textId="77777777" w:rsidR="00CF56CC" w:rsidRPr="001E7327" w:rsidRDefault="00CF56CC" w:rsidP="00CF56CC">
      <w:pPr>
        <w:jc w:val="both"/>
        <w:rPr>
          <w:rFonts w:ascii="GalanoGrotesque-Medium" w:hAnsi="GalanoGrotesque-Medium" w:cs="Arial"/>
        </w:rPr>
      </w:pPr>
    </w:p>
    <w:p w14:paraId="50356496" w14:textId="77777777" w:rsidR="00CF56CC" w:rsidRPr="001E7327" w:rsidRDefault="00CF56CC" w:rsidP="00CF56CC">
      <w:pPr>
        <w:jc w:val="both"/>
        <w:rPr>
          <w:rFonts w:ascii="GalanoGrotesque-Medium" w:hAnsi="GalanoGrotesque-Medium" w:cs="Arial"/>
        </w:rPr>
      </w:pPr>
    </w:p>
    <w:p w14:paraId="2B60A08A" w14:textId="77777777" w:rsidR="00CF56CC" w:rsidRDefault="00CF56CC" w:rsidP="00E47EF3">
      <w:pPr>
        <w:spacing w:after="240"/>
        <w:jc w:val="both"/>
        <w:rPr>
          <w:rFonts w:ascii="GalanoGrotesque-Medium" w:eastAsia="Times New Roman" w:hAnsi="GalanoGrotesque-Medium" w:cs="Arial"/>
          <w:bCs/>
          <w:sz w:val="24"/>
          <w:szCs w:val="24"/>
          <w:lang w:val="es-ES" w:eastAsia="es-ES"/>
        </w:rPr>
        <w:sectPr w:rsidR="00CF56CC" w:rsidSect="00CF56CC">
          <w:footnotePr>
            <w:numStart w:val="4"/>
          </w:footnotePr>
          <w:pgSz w:w="12240" w:h="15840"/>
          <w:pgMar w:top="1418" w:right="1134" w:bottom="1418" w:left="1134" w:header="709" w:footer="709" w:gutter="0"/>
          <w:cols w:space="567"/>
          <w:docGrid w:linePitch="360"/>
        </w:sectPr>
      </w:pPr>
    </w:p>
    <w:p w14:paraId="34FBA400" w14:textId="77777777" w:rsidR="00CF56CC" w:rsidRPr="00A9377A" w:rsidRDefault="00036A6E" w:rsidP="00A9377A">
      <w:pPr>
        <w:spacing w:after="240"/>
        <w:jc w:val="both"/>
        <w:rPr>
          <w:rFonts w:ascii="GalanoGrotesque-Medium" w:eastAsia="Times New Roman" w:hAnsi="GalanoGrotesque-Medium" w:cs="Arial"/>
          <w:sz w:val="24"/>
          <w:szCs w:val="24"/>
          <w:lang w:val="es-ES" w:eastAsia="es-ES"/>
        </w:rPr>
      </w:pPr>
      <w:r>
        <w:rPr>
          <w:rFonts w:ascii="GalanoGrotesque-Medium" w:eastAsia="Times New Roman" w:hAnsi="GalanoGrotesque-Medium" w:cs="Arial"/>
          <w:noProof/>
          <w:sz w:val="24"/>
          <w:szCs w:val="24"/>
          <w:lang w:val="es-ES" w:eastAsia="es-ES"/>
        </w:rPr>
        <w:lastRenderedPageBreak/>
        <w:drawing>
          <wp:anchor distT="0" distB="0" distL="114300" distR="114300" simplePos="0" relativeHeight="251655678" behindDoc="1" locked="0" layoutInCell="1" allowOverlap="1" wp14:anchorId="578DE525" wp14:editId="799C9168">
            <wp:simplePos x="0" y="0"/>
            <wp:positionH relativeFrom="column">
              <wp:posOffset>-701040</wp:posOffset>
            </wp:positionH>
            <wp:positionV relativeFrom="page">
              <wp:posOffset>-666750</wp:posOffset>
            </wp:positionV>
            <wp:extent cx="7734300" cy="10840720"/>
            <wp:effectExtent l="0" t="0" r="0" b="0"/>
            <wp:wrapTight wrapText="bothSides">
              <wp:wrapPolygon edited="0">
                <wp:start x="0" y="0"/>
                <wp:lineTo x="0" y="21560"/>
                <wp:lineTo x="21547" y="21560"/>
                <wp:lineTo x="2154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ma-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734300" cy="10840720"/>
                    </a:xfrm>
                    <a:prstGeom prst="rect">
                      <a:avLst/>
                    </a:prstGeom>
                  </pic:spPr>
                </pic:pic>
              </a:graphicData>
            </a:graphic>
            <wp14:sizeRelH relativeFrom="page">
              <wp14:pctWidth>0</wp14:pctWidth>
            </wp14:sizeRelH>
            <wp14:sizeRelV relativeFrom="page">
              <wp14:pctHeight>0</wp14:pctHeight>
            </wp14:sizeRelV>
          </wp:anchor>
        </w:drawing>
      </w:r>
    </w:p>
    <w:p w14:paraId="69C070B7" w14:textId="105FAE70" w:rsidR="00215D6A" w:rsidRPr="00215D6A" w:rsidRDefault="00902F72" w:rsidP="00A74451">
      <w:pPr>
        <w:pStyle w:val="Ttulo1"/>
        <w:spacing w:before="0" w:after="200" w:line="280" w:lineRule="exact"/>
        <w:ind w:left="851"/>
      </w:pPr>
      <w:bookmarkStart w:id="20" w:name="_Toc458015643"/>
      <w:r>
        <w:rPr>
          <w:rFonts w:ascii="GalanoGrotesque-Bold" w:hAnsi="GalanoGrotesque-Bold" w:cs="GalanoGrotesque-Bold"/>
          <w:b w:val="0"/>
          <w:bCs w:val="0"/>
          <w:noProof/>
          <w:color w:val="414142"/>
          <w:sz w:val="28"/>
          <w:szCs w:val="28"/>
        </w:rPr>
        <w:lastRenderedPageBreak/>
        <w:drawing>
          <wp:anchor distT="0" distB="0" distL="114300" distR="114300" simplePos="0" relativeHeight="251813376" behindDoc="0" locked="0" layoutInCell="1" allowOverlap="1" wp14:anchorId="0683423D" wp14:editId="7490D096">
            <wp:simplePos x="0" y="0"/>
            <wp:positionH relativeFrom="column">
              <wp:posOffset>-481965</wp:posOffset>
            </wp:positionH>
            <wp:positionV relativeFrom="paragraph">
              <wp:posOffset>-36195</wp:posOffset>
            </wp:positionV>
            <wp:extent cx="934290" cy="552450"/>
            <wp:effectExtent l="0" t="0" r="0" b="0"/>
            <wp:wrapNone/>
            <wp:docPr id="59411" name="Imagen 5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429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798">
        <w:rPr>
          <w:rFonts w:ascii="GalanoGrotesque-Bold" w:hAnsi="GalanoGrotesque-Bold" w:cs="GalanoGrotesque-Bold"/>
          <w:b w:val="0"/>
          <w:bCs w:val="0"/>
          <w:color w:val="414142"/>
          <w:sz w:val="28"/>
          <w:szCs w:val="28"/>
        </w:rPr>
        <w:t>Sustentabilidad</w:t>
      </w:r>
      <w:r w:rsidR="00A74451">
        <w:rPr>
          <w:rFonts w:ascii="GalanoGrotesque-Bold" w:hAnsi="GalanoGrotesque-Bold" w:cs="GalanoGrotesque-Bold"/>
          <w:b w:val="0"/>
          <w:bCs w:val="0"/>
          <w:color w:val="414142"/>
          <w:sz w:val="28"/>
          <w:szCs w:val="28"/>
        </w:rPr>
        <w:t xml:space="preserve"> </w:t>
      </w:r>
      <w:r w:rsidR="00B41798">
        <w:rPr>
          <w:rFonts w:ascii="GalanoGrotesque-Bold" w:hAnsi="GalanoGrotesque-Bold" w:cs="GalanoGrotesque-Bold"/>
          <w:b w:val="0"/>
          <w:bCs w:val="0"/>
          <w:color w:val="414142"/>
          <w:sz w:val="28"/>
          <w:szCs w:val="28"/>
        </w:rPr>
        <w:t>Ambiental, Resiliencia y</w:t>
      </w:r>
      <w:r w:rsidR="00A74451">
        <w:rPr>
          <w:rFonts w:ascii="GalanoGrotesque-Bold" w:hAnsi="GalanoGrotesque-Bold" w:cs="GalanoGrotesque-Bold"/>
          <w:b w:val="0"/>
          <w:bCs w:val="0"/>
          <w:color w:val="414142"/>
          <w:sz w:val="28"/>
          <w:szCs w:val="28"/>
        </w:rPr>
        <w:t xml:space="preserve"> </w:t>
      </w:r>
      <w:r w:rsidR="00B41798">
        <w:rPr>
          <w:rFonts w:ascii="GalanoGrotesque-Bold" w:hAnsi="GalanoGrotesque-Bold" w:cs="GalanoGrotesque-Bold"/>
          <w:b w:val="0"/>
          <w:bCs w:val="0"/>
          <w:color w:val="414142"/>
          <w:sz w:val="28"/>
          <w:szCs w:val="28"/>
        </w:rPr>
        <w:t>Prosperidad Urbana</w:t>
      </w:r>
      <w:bookmarkEnd w:id="20"/>
    </w:p>
    <w:p w14:paraId="16B1096E"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La sustentabilidad ambiental es la administración eficiente y racional de los recursos naturales, sin comprometer el equilibrio ecológico. El aprovechamiento del capital natural no debe perjudicar ni limitar las necesidades de las futuras generaciones, ni de las especies que habitan el planeta. Un medio ambiente saludable ofrece a una comunidad mayores posibilidades de desarrollo y bienestar económico y social.</w:t>
      </w:r>
    </w:p>
    <w:p w14:paraId="20C3787C"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Gobierno y sociedad michoacana están obligados a usar consciente y responsablemente los recursos renovables y no renovables, sin agotarlos o exceder su capacidad de reproducción. La producción de bienes y servicios a partir de los recursos naturales y económicos implica no generar más contaminantes de los que puede absorber el medio ambiente sin dañarlo. </w:t>
      </w:r>
    </w:p>
    <w:p w14:paraId="05F1F761"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La sustentabilidad se basa en un modelo de desarrollo económico en donde prevalezcan las prácticas socialmente rentables y éticamente justas, regidas por criterios de responsabilidad social y ambiental. </w:t>
      </w:r>
    </w:p>
    <w:p w14:paraId="2EABFEE9"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Es importante incluir el término de resiliencia, entendiendo ésta como la capacidad del ser humano y de la naturaleza de superar por sí mismos los problemas de modo adecuado e integral; el fortalecimiento de la resiliencia y la capacidad de adaptación o mitigación frente a los efectos del cambio climático implican entre otras cosas una gestión integral para prevenir la contaminación del suelo, aire y agua.</w:t>
      </w:r>
    </w:p>
    <w:p w14:paraId="175EECBD"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La prosperidad urbana es una iniciativa estratégica para las ciudades comprometidas en adoptar una noción  de prosperidad integral, más centrada en la población y la sostenibilidad, y en realizar los esfuerzos necesarios para avanzar en el camino de una mejor calidad de vida y bienestar para las personas. Tiene como objetivos ayudar a las ciudades a conducirse hacia un futuro urbano próspero en términos económicos, sociales, políticos y ambientales, así como crear las condiciones  para medir el progreso presente y futuro.</w:t>
      </w:r>
    </w:p>
    <w:p w14:paraId="2FACDC10"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La educación como Eje de Gobernanza, incluida la ambiental, será pieza fundamental para alcanzar capacidades locales y desarrollar economías sustentables, de escala y aglomeración para mejorar el bienestar y la prosperidad de la población mediante </w:t>
      </w:r>
      <w:r w:rsidRPr="001D48E8">
        <w:rPr>
          <w:rFonts w:ascii="MyriadPro-Regular" w:hAnsi="MyriadPro-Regular" w:cs="MyriadPro-Regular"/>
          <w:color w:val="414142"/>
          <w:sz w:val="20"/>
          <w:szCs w:val="20"/>
        </w:rPr>
        <w:lastRenderedPageBreak/>
        <w:t>intervenciones de planeación y ordenamiento territorial.</w:t>
      </w:r>
    </w:p>
    <w:p w14:paraId="15831DA5"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Apoyar soluciones sociales y técnicas  para mejorar la funcionalidad urbana, lograr ciudades sostenibles así como generar proyectos mediante estudios de viabilidad requiere contar con finanzas sanas, otro de los Ejes de Gobernanza de este gobierno.</w:t>
      </w:r>
    </w:p>
    <w:p w14:paraId="6214EF86"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Es conveniente también, diseñar los programas de ordenamiento ecológico y territorial necesarios que den sustentabilidad al entorno en el que vivimos. Esta Administración plantea que la sustentabilidad ambiental, la resiliencia y el desarrollo urbano, deben reconocer la vocación territorial, la conservación del patrimonio  arquitectónico y la participación social y ciudadana en su gestión y desarrollo.</w:t>
      </w:r>
    </w:p>
    <w:p w14:paraId="5835C471" w14:textId="77777777" w:rsidR="00487E5A" w:rsidRPr="005D0F18" w:rsidRDefault="00487E5A" w:rsidP="005D0F18">
      <w:pPr>
        <w:pStyle w:val="Prrafodelista"/>
        <w:numPr>
          <w:ilvl w:val="0"/>
          <w:numId w:val="26"/>
        </w:numPr>
        <w:spacing w:after="240"/>
        <w:ind w:left="567" w:hanging="567"/>
        <w:rPr>
          <w:rFonts w:ascii="GalanoGrotesque-Medium" w:hAnsi="GalanoGrotesque-Medium" w:cs="Arial"/>
          <w:b/>
        </w:rPr>
      </w:pPr>
      <w:r w:rsidRPr="005D0F18">
        <w:rPr>
          <w:rFonts w:ascii="GalanoGrotesque-Medium" w:hAnsi="GalanoGrotesque-Medium" w:cs="Arial"/>
          <w:b/>
        </w:rPr>
        <w:t>Como nos encontramos</w:t>
      </w:r>
      <w:r w:rsidR="00215D6A" w:rsidRPr="005D0F18">
        <w:rPr>
          <w:rFonts w:ascii="MyriadPro-Bold" w:hAnsi="MyriadPro-Bold" w:cs="MyriadPro-Bold"/>
          <w:b/>
          <w:bCs/>
          <w:color w:val="414142"/>
        </w:rPr>
        <w:t xml:space="preserve"> </w:t>
      </w:r>
    </w:p>
    <w:p w14:paraId="21BDF7F2"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El Estado de Michoacán es rico en ecosistemas y biodiversidad. Su superficie continental de 58,643.6 km2 cuenta con una variada fisiografía compuesta por cordilleras, mesetas y litorales en una gama muy diversa de suelos y climas. De acuerdo al mapa de vegetación y uso de suelo el Estado tiene más de tres millones de hectáreas forestales equivalentes al 61% de su territorio, incluida aquella superficie con vegetación degradada, erosionada o con lava.</w:t>
      </w:r>
    </w:p>
    <w:p w14:paraId="0FDDD10A"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Michoacán participa de 27 cuencas del país. Los principales ríos del estado por su longitud e importancia regional son el Balsas y el Lerma. El primero con orígenes en los estados de Tlaxcala y Puebla, drenando parte a los estados de Oaxaca, Guerrero, México y una gran superficie de Michoacán (55.5%) Los principales afluentes del Balsas son los ríos: Tacámbaro, </w:t>
      </w:r>
      <w:proofErr w:type="spellStart"/>
      <w:r w:rsidRPr="001D48E8">
        <w:rPr>
          <w:rFonts w:ascii="MyriadPro-Regular" w:hAnsi="MyriadPro-Regular" w:cs="MyriadPro-Regular"/>
          <w:color w:val="414142"/>
          <w:sz w:val="20"/>
          <w:szCs w:val="20"/>
        </w:rPr>
        <w:t>Cupatitzio</w:t>
      </w:r>
      <w:proofErr w:type="spellEnd"/>
      <w:r w:rsidRPr="001D48E8">
        <w:rPr>
          <w:rFonts w:ascii="MyriadPro-Regular" w:hAnsi="MyriadPro-Regular" w:cs="MyriadPro-Regular"/>
          <w:color w:val="414142"/>
          <w:sz w:val="20"/>
          <w:szCs w:val="20"/>
        </w:rPr>
        <w:t>, El Marqués y Tepalcatepec.</w:t>
      </w:r>
    </w:p>
    <w:p w14:paraId="4BA9231B"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En el caso del Río Lerma, éste se origina en la sierra del Nevado de Toluca, en el estado de México, drenando una porción al mismo, además de Querétaro, Guanajuato, Michoacán (26.3% de su superficie) y Jalisco; vertiendo sus aguas finalmente en el lago de Chapala. Entre sus principales afluentes se tienen el Río Angulo y el Río Duero</w:t>
      </w:r>
    </w:p>
    <w:p w14:paraId="32B49EAC"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La problemática de contaminación de ésta importante cuenca es un asunto central de política pública que será atendido por la presente Administración en coordinación con la Federación y el resto de las entidades que participan en la misma.</w:t>
      </w:r>
    </w:p>
    <w:p w14:paraId="5637FA7C"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Cuenta con 58 Áreas Naturales Protegidas (ANP), tanto de competencia federal como estatal y nueve </w:t>
      </w:r>
      <w:r w:rsidRPr="001D48E8">
        <w:rPr>
          <w:rFonts w:ascii="MyriadPro-Regular" w:hAnsi="MyriadPro-Regular" w:cs="MyriadPro-Regular"/>
          <w:color w:val="414142"/>
          <w:sz w:val="20"/>
          <w:szCs w:val="20"/>
        </w:rPr>
        <w:lastRenderedPageBreak/>
        <w:t xml:space="preserve">sitios RAMSAR reconocidos como hábitat de aves acuáticas. Sus principales lagos interiores: </w:t>
      </w:r>
      <w:proofErr w:type="spellStart"/>
      <w:r w:rsidRPr="001D48E8">
        <w:rPr>
          <w:rFonts w:ascii="MyriadPro-Regular" w:hAnsi="MyriadPro-Regular" w:cs="MyriadPro-Regular"/>
          <w:color w:val="414142"/>
          <w:sz w:val="20"/>
          <w:szCs w:val="20"/>
        </w:rPr>
        <w:t>Cuitzeo</w:t>
      </w:r>
      <w:proofErr w:type="spellEnd"/>
      <w:r w:rsidRPr="001D48E8">
        <w:rPr>
          <w:rFonts w:ascii="MyriadPro-Regular" w:hAnsi="MyriadPro-Regular" w:cs="MyriadPro-Regular"/>
          <w:color w:val="414142"/>
          <w:sz w:val="20"/>
          <w:szCs w:val="20"/>
        </w:rPr>
        <w:t>, Pátzcuaro-</w:t>
      </w:r>
      <w:proofErr w:type="spellStart"/>
      <w:r w:rsidRPr="001D48E8">
        <w:rPr>
          <w:rFonts w:ascii="MyriadPro-Regular" w:hAnsi="MyriadPro-Regular" w:cs="MyriadPro-Regular"/>
          <w:color w:val="414142"/>
          <w:sz w:val="20"/>
          <w:szCs w:val="20"/>
        </w:rPr>
        <w:t>Zirahuén</w:t>
      </w:r>
      <w:proofErr w:type="spellEnd"/>
      <w:r w:rsidRPr="001D48E8">
        <w:rPr>
          <w:rFonts w:ascii="MyriadPro-Regular" w:hAnsi="MyriadPro-Regular" w:cs="MyriadPro-Regular"/>
          <w:color w:val="414142"/>
          <w:sz w:val="20"/>
          <w:szCs w:val="20"/>
        </w:rPr>
        <w:t>, y el propio Chapala, son fuente de múltiples actividades económicas y albergan junto con los 214 kilómetros de litoral del estado, un rico potencial turístico y de tradiciones comunitarias.</w:t>
      </w:r>
    </w:p>
    <w:p w14:paraId="3C914442"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Respecto a la distribución del territorio por uso de suelo aparecen  tendencias preocupantes ya que en un periodo de 20 años, comprendidos entre los años 1990 al año 2010, el Estado sufrió una pérdida de superficie arbolada (bosques, selvas y mezquitales) de un millón 335 mil 253 hectáreas, con una tasa de deforestación de 66,762 hectáreas anuales que son hoy utilizadas por la actividad ganadera extensiva y la agricultura, principalmente productos perennes como el aguacate. </w:t>
      </w:r>
    </w:p>
    <w:p w14:paraId="2BF47052"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También resulta relevante que las zonas urbanas se han expandido sobre 98,364 hectáreas de las poco más de 5 mil que ocupaban hace veinte años. </w:t>
      </w:r>
      <w:r w:rsidRPr="001D48E8">
        <w:rPr>
          <w:rFonts w:ascii="MyriadPro-Regular" w:hAnsi="MyriadPro-Regular" w:cs="MyriadPro-Regular"/>
          <w:color w:val="414142"/>
          <w:sz w:val="20"/>
          <w:szCs w:val="20"/>
        </w:rPr>
        <w:lastRenderedPageBreak/>
        <w:t>(Comisión Forestal del Estado de Michoacán, Inventario Estatal Forestal y de Suelos, 2014).</w:t>
      </w:r>
    </w:p>
    <w:p w14:paraId="5B85B32F" w14:textId="77777777" w:rsidR="00487E5A" w:rsidRPr="001D48E8" w:rsidRDefault="00487E5A" w:rsidP="00902F72">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El Estado se ubica en el cuarto lugar  nacional en cuanto a su superficie erosionada; la deforestación y la pérdida de cobertura vegetal son también consecuencia del cambio del uso de suelo y la tala clandestina. Las regiones con mayor porcentaje de erosión son: Tepalcatepec con 6.6%, Bajío con 6.2%, </w:t>
      </w:r>
      <w:proofErr w:type="spellStart"/>
      <w:r w:rsidRPr="001D48E8">
        <w:rPr>
          <w:rFonts w:ascii="MyriadPro-Regular" w:hAnsi="MyriadPro-Regular" w:cs="MyriadPro-Regular"/>
          <w:color w:val="414142"/>
          <w:sz w:val="20"/>
          <w:szCs w:val="20"/>
        </w:rPr>
        <w:t>Cuitzeo</w:t>
      </w:r>
      <w:proofErr w:type="spellEnd"/>
      <w:r w:rsidRPr="001D48E8">
        <w:rPr>
          <w:rFonts w:ascii="MyriadPro-Regular" w:hAnsi="MyriadPro-Regular" w:cs="MyriadPro-Regular"/>
          <w:color w:val="414142"/>
          <w:sz w:val="20"/>
          <w:szCs w:val="20"/>
        </w:rPr>
        <w:t xml:space="preserve"> con 5.7%, Tierra Caliente con 5.6% y Sierra-Costa con 5.1%. </w:t>
      </w:r>
    </w:p>
    <w:p w14:paraId="3337F129" w14:textId="428EC59E" w:rsidR="00215D6A" w:rsidRDefault="00487E5A" w:rsidP="00902F72">
      <w:pPr>
        <w:spacing w:after="160" w:line="240" w:lineRule="auto"/>
        <w:jc w:val="both"/>
        <w:rPr>
          <w:rFonts w:ascii="MyriadPro-Regular" w:hAnsi="MyriadPro-Regular" w:cs="MyriadPro-Regular"/>
          <w:color w:val="414142"/>
          <w:sz w:val="20"/>
          <w:szCs w:val="20"/>
        </w:rPr>
        <w:sectPr w:rsidR="00215D6A" w:rsidSect="00487E5A">
          <w:footnotePr>
            <w:numStart w:val="4"/>
          </w:footnotePr>
          <w:pgSz w:w="12240" w:h="15840"/>
          <w:pgMar w:top="1418" w:right="1134" w:bottom="1418" w:left="1134" w:header="709" w:footer="709" w:gutter="0"/>
          <w:cols w:num="2" w:space="567"/>
          <w:docGrid w:linePitch="360"/>
        </w:sectPr>
      </w:pPr>
      <w:r w:rsidRPr="001D48E8">
        <w:rPr>
          <w:rFonts w:ascii="MyriadPro-Regular" w:hAnsi="MyriadPro-Regular" w:cs="MyriadPro-Regular"/>
          <w:color w:val="414142"/>
          <w:sz w:val="20"/>
          <w:szCs w:val="20"/>
        </w:rPr>
        <w:t>Este cambio, en la mayoría de las ocasiones inducido mediante incendios o quemas intencionales, para ampliar superficies dedicadas a la producción agrícola o ganadera, tiene importantes costos ambientales para la entidad. La política pública  deberá revertir los desequilibrios para garantizar que las  actividades productivas  se desarrollen bajo condiciones su</w:t>
      </w:r>
      <w:r w:rsidR="00250850">
        <w:rPr>
          <w:rFonts w:ascii="MyriadPro-Regular" w:hAnsi="MyriadPro-Regular" w:cs="MyriadPro-Regular"/>
          <w:color w:val="414142"/>
          <w:sz w:val="20"/>
          <w:szCs w:val="20"/>
        </w:rPr>
        <w:t>stentables y en el largo plazo</w:t>
      </w:r>
      <w:r w:rsidR="003F32DB">
        <w:rPr>
          <w:rFonts w:ascii="MyriadPro-Regular" w:hAnsi="MyriadPro-Regular" w:cs="MyriadPro-Regular"/>
          <w:color w:val="414142"/>
          <w:sz w:val="20"/>
          <w:szCs w:val="20"/>
        </w:rPr>
        <w:t>.</w:t>
      </w:r>
    </w:p>
    <w:p w14:paraId="0D17D44B" w14:textId="77777777" w:rsidR="00F32CC0" w:rsidRDefault="00F32CC0" w:rsidP="005D0F18">
      <w:pPr>
        <w:widowControl w:val="0"/>
        <w:autoSpaceDE w:val="0"/>
        <w:autoSpaceDN w:val="0"/>
        <w:adjustRightInd w:val="0"/>
        <w:spacing w:after="0" w:line="180" w:lineRule="exact"/>
        <w:jc w:val="center"/>
        <w:rPr>
          <w:rFonts w:ascii="GalanoGrotesque-Medium" w:eastAsia="Times New Roman" w:hAnsi="GalanoGrotesque-Medium" w:cs="Arial"/>
          <w:b/>
          <w:sz w:val="16"/>
          <w:szCs w:val="16"/>
          <w:lang w:val="es-ES" w:eastAsia="es-ES"/>
        </w:rPr>
      </w:pPr>
    </w:p>
    <w:p w14:paraId="6637ED74" w14:textId="77777777" w:rsidR="00F32CC0" w:rsidRDefault="00F32CC0" w:rsidP="005D0F18">
      <w:pPr>
        <w:widowControl w:val="0"/>
        <w:autoSpaceDE w:val="0"/>
        <w:autoSpaceDN w:val="0"/>
        <w:adjustRightInd w:val="0"/>
        <w:spacing w:after="0" w:line="180" w:lineRule="exact"/>
        <w:jc w:val="center"/>
        <w:rPr>
          <w:rFonts w:ascii="GalanoGrotesque-Medium" w:eastAsia="Times New Roman" w:hAnsi="GalanoGrotesque-Medium" w:cs="Arial"/>
          <w:b/>
          <w:sz w:val="16"/>
          <w:szCs w:val="16"/>
          <w:lang w:val="es-ES" w:eastAsia="es-ES"/>
        </w:rPr>
      </w:pPr>
    </w:p>
    <w:p w14:paraId="042B78A1" w14:textId="77777777" w:rsidR="00B441C4" w:rsidRPr="005D0F18" w:rsidRDefault="00B441C4" w:rsidP="005D0F18">
      <w:pPr>
        <w:widowControl w:val="0"/>
        <w:autoSpaceDE w:val="0"/>
        <w:autoSpaceDN w:val="0"/>
        <w:adjustRightInd w:val="0"/>
        <w:spacing w:after="0" w:line="180" w:lineRule="exact"/>
        <w:jc w:val="center"/>
        <w:rPr>
          <w:rFonts w:ascii="GalanoGrotesque-Medium" w:eastAsia="Times New Roman" w:hAnsi="GalanoGrotesque-Medium" w:cs="Arial"/>
          <w:b/>
          <w:sz w:val="16"/>
          <w:szCs w:val="16"/>
          <w:lang w:val="es-ES" w:eastAsia="es-ES"/>
        </w:rPr>
      </w:pPr>
      <w:r w:rsidRPr="005D0F18">
        <w:rPr>
          <w:rFonts w:ascii="GalanoGrotesque-Medium" w:eastAsia="Times New Roman" w:hAnsi="GalanoGrotesque-Medium" w:cs="Arial"/>
          <w:b/>
          <w:sz w:val="16"/>
          <w:szCs w:val="16"/>
          <w:lang w:val="es-ES" w:eastAsia="es-ES"/>
        </w:rPr>
        <w:t>Tabla 7.1</w:t>
      </w:r>
    </w:p>
    <w:p w14:paraId="12BF7DF3" w14:textId="77777777" w:rsidR="00B441C4" w:rsidRPr="005D0F18" w:rsidRDefault="00B441C4" w:rsidP="005D0F18">
      <w:pPr>
        <w:spacing w:after="160" w:line="180" w:lineRule="exact"/>
        <w:jc w:val="center"/>
        <w:rPr>
          <w:rFonts w:ascii="GalanoGrotesque-Medium" w:eastAsia="Times New Roman" w:hAnsi="GalanoGrotesque-Medium" w:cs="Arial"/>
          <w:bCs/>
          <w:sz w:val="16"/>
          <w:szCs w:val="16"/>
          <w:lang w:val="es-ES" w:eastAsia="es-ES"/>
        </w:rPr>
      </w:pPr>
      <w:r w:rsidRPr="005D0F18">
        <w:rPr>
          <w:rFonts w:ascii="GalanoGrotesque-Medium" w:eastAsia="Times New Roman" w:hAnsi="GalanoGrotesque-Medium" w:cs="Arial"/>
          <w:bCs/>
          <w:sz w:val="16"/>
          <w:szCs w:val="16"/>
          <w:lang w:val="es-ES" w:eastAsia="es-ES"/>
        </w:rPr>
        <w:t>Distribución de la superficie por tipo de uso de suelo en el Estado, 2005-2012</w:t>
      </w:r>
    </w:p>
    <w:tbl>
      <w:tblPr>
        <w:tblW w:w="9756"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756"/>
      </w:tblGrid>
      <w:tr w:rsidR="00B441C4" w:rsidRPr="00487E5A" w14:paraId="2A0A332F" w14:textId="77777777" w:rsidTr="00687E1D">
        <w:trPr>
          <w:trHeight w:val="1017"/>
          <w:jc w:val="center"/>
        </w:trPr>
        <w:tc>
          <w:tcPr>
            <w:tcW w:w="9756" w:type="dxa"/>
            <w:tcBorders>
              <w:top w:val="single" w:sz="4" w:space="0" w:color="auto"/>
              <w:bottom w:val="single" w:sz="4" w:space="0" w:color="auto"/>
            </w:tcBorders>
          </w:tcPr>
          <w:tbl>
            <w:tblPr>
              <w:tblpPr w:leftFromText="141" w:rightFromText="141" w:vertAnchor="page" w:horzAnchor="margin" w:tblpXSpec="center" w:tblpY="1"/>
              <w:tblOverlap w:val="never"/>
              <w:tblW w:w="9770" w:type="dxa"/>
              <w:tblLayout w:type="fixed"/>
              <w:tblCellMar>
                <w:left w:w="70" w:type="dxa"/>
                <w:right w:w="70" w:type="dxa"/>
              </w:tblCellMar>
              <w:tblLook w:val="04A0" w:firstRow="1" w:lastRow="0" w:firstColumn="1" w:lastColumn="0" w:noHBand="0" w:noVBand="1"/>
            </w:tblPr>
            <w:tblGrid>
              <w:gridCol w:w="1199"/>
              <w:gridCol w:w="1563"/>
              <w:gridCol w:w="3466"/>
              <w:gridCol w:w="2407"/>
              <w:gridCol w:w="1135"/>
            </w:tblGrid>
            <w:tr w:rsidR="00B441C4" w:rsidRPr="00720747" w14:paraId="5704686F" w14:textId="77777777" w:rsidTr="00687E1D">
              <w:trPr>
                <w:trHeight w:val="315"/>
              </w:trPr>
              <w:tc>
                <w:tcPr>
                  <w:tcW w:w="613" w:type="pct"/>
                  <w:tcBorders>
                    <w:top w:val="single" w:sz="8" w:space="0" w:color="FFFFFF"/>
                    <w:left w:val="single" w:sz="8" w:space="0" w:color="FFFFFF"/>
                    <w:bottom w:val="single" w:sz="8" w:space="0" w:color="FFFFFF"/>
                    <w:right w:val="single" w:sz="8" w:space="0" w:color="FFFFFF"/>
                  </w:tcBorders>
                  <w:shd w:val="clear" w:color="000000" w:fill="4F6228"/>
                  <w:vAlign w:val="center"/>
                  <w:hideMark/>
                </w:tcPr>
                <w:p w14:paraId="574F955D" w14:textId="77777777" w:rsidR="00B441C4" w:rsidRPr="00720747" w:rsidRDefault="00B441C4" w:rsidP="00687E1D">
                  <w:pPr>
                    <w:spacing w:after="0" w:line="240" w:lineRule="auto"/>
                    <w:jc w:val="center"/>
                    <w:rPr>
                      <w:rFonts w:ascii="MyriadPro-Regular" w:eastAsia="Times New Roman" w:hAnsi="MyriadPro-Regular" w:cs="Arial"/>
                      <w:bCs/>
                      <w:color w:val="000000"/>
                      <w:sz w:val="16"/>
                      <w:szCs w:val="16"/>
                      <w:lang w:val="es-ES" w:eastAsia="es-ES"/>
                    </w:rPr>
                  </w:pPr>
                  <w:r w:rsidRPr="00720747">
                    <w:rPr>
                      <w:rFonts w:ascii="MyriadPro-Regular" w:eastAsia="Times New Roman" w:hAnsi="MyriadPro-Regular" w:cs="Arial"/>
                      <w:bCs/>
                      <w:color w:val="FFFFFF" w:themeColor="background1"/>
                      <w:sz w:val="16"/>
                      <w:szCs w:val="16"/>
                      <w:lang w:eastAsia="es-ES"/>
                    </w:rPr>
                    <w:t>TERRENO</w:t>
                  </w:r>
                </w:p>
              </w:tc>
              <w:tc>
                <w:tcPr>
                  <w:tcW w:w="800" w:type="pct"/>
                  <w:tcBorders>
                    <w:top w:val="single" w:sz="8" w:space="0" w:color="FFFFFF"/>
                    <w:left w:val="nil"/>
                    <w:bottom w:val="single" w:sz="8" w:space="0" w:color="FFFFFF"/>
                    <w:right w:val="single" w:sz="8" w:space="0" w:color="FFFFFF"/>
                  </w:tcBorders>
                  <w:shd w:val="clear" w:color="000000" w:fill="4F6228"/>
                  <w:noWrap/>
                  <w:vAlign w:val="center"/>
                  <w:hideMark/>
                </w:tcPr>
                <w:p w14:paraId="2321F292" w14:textId="77777777" w:rsidR="00B441C4" w:rsidRPr="00720747" w:rsidRDefault="00B441C4" w:rsidP="00687E1D">
                  <w:pPr>
                    <w:spacing w:after="0" w:line="240" w:lineRule="auto"/>
                    <w:jc w:val="center"/>
                    <w:rPr>
                      <w:rFonts w:ascii="MyriadPro-Regular" w:eastAsia="Times New Roman" w:hAnsi="MyriadPro-Regular" w:cs="Arial"/>
                      <w:bCs/>
                      <w:color w:val="FFFFFF" w:themeColor="background1"/>
                      <w:sz w:val="16"/>
                      <w:szCs w:val="16"/>
                      <w:lang w:val="es-ES" w:eastAsia="es-ES"/>
                    </w:rPr>
                  </w:pPr>
                  <w:r w:rsidRPr="00720747">
                    <w:rPr>
                      <w:rFonts w:ascii="MyriadPro-Regular" w:eastAsia="Times New Roman" w:hAnsi="MyriadPro-Regular" w:cs="Arial"/>
                      <w:bCs/>
                      <w:color w:val="FFFFFF" w:themeColor="background1"/>
                      <w:sz w:val="16"/>
                      <w:szCs w:val="16"/>
                      <w:lang w:eastAsia="es-ES"/>
                    </w:rPr>
                    <w:t>AGRUPACIÓN</w:t>
                  </w:r>
                </w:p>
              </w:tc>
              <w:tc>
                <w:tcPr>
                  <w:tcW w:w="1774" w:type="pct"/>
                  <w:tcBorders>
                    <w:top w:val="single" w:sz="8" w:space="0" w:color="FFFFFF"/>
                    <w:left w:val="nil"/>
                    <w:bottom w:val="single" w:sz="8" w:space="0" w:color="FFFFFF"/>
                    <w:right w:val="single" w:sz="8" w:space="0" w:color="FFFFFF"/>
                  </w:tcBorders>
                  <w:shd w:val="clear" w:color="000000" w:fill="4F6228"/>
                  <w:noWrap/>
                  <w:vAlign w:val="center"/>
                  <w:hideMark/>
                </w:tcPr>
                <w:p w14:paraId="68638016" w14:textId="77777777" w:rsidR="00B441C4" w:rsidRPr="00720747" w:rsidRDefault="00B441C4" w:rsidP="00687E1D">
                  <w:pPr>
                    <w:spacing w:after="0" w:line="240" w:lineRule="auto"/>
                    <w:jc w:val="center"/>
                    <w:rPr>
                      <w:rFonts w:ascii="MyriadPro-Regular" w:eastAsia="Times New Roman" w:hAnsi="MyriadPro-Regular" w:cs="Arial"/>
                      <w:bCs/>
                      <w:color w:val="FFFFFF" w:themeColor="background1"/>
                      <w:sz w:val="16"/>
                      <w:szCs w:val="16"/>
                      <w:lang w:val="es-ES" w:eastAsia="es-ES"/>
                    </w:rPr>
                  </w:pPr>
                  <w:r w:rsidRPr="00720747">
                    <w:rPr>
                      <w:rFonts w:ascii="MyriadPro-Regular" w:eastAsia="Times New Roman" w:hAnsi="MyriadPro-Regular" w:cs="Arial"/>
                      <w:bCs/>
                      <w:color w:val="FFFFFF" w:themeColor="background1"/>
                      <w:sz w:val="16"/>
                      <w:szCs w:val="16"/>
                      <w:lang w:eastAsia="es-ES"/>
                    </w:rPr>
                    <w:t>CLASES</w:t>
                  </w:r>
                </w:p>
              </w:tc>
              <w:tc>
                <w:tcPr>
                  <w:tcW w:w="1232" w:type="pct"/>
                  <w:tcBorders>
                    <w:top w:val="single" w:sz="8" w:space="0" w:color="FFFFFF"/>
                    <w:left w:val="nil"/>
                    <w:bottom w:val="single" w:sz="8" w:space="0" w:color="FFFFFF"/>
                    <w:right w:val="single" w:sz="8" w:space="0" w:color="FFFFFF"/>
                  </w:tcBorders>
                  <w:shd w:val="clear" w:color="000000" w:fill="4F6228"/>
                  <w:noWrap/>
                  <w:vAlign w:val="center"/>
                  <w:hideMark/>
                </w:tcPr>
                <w:p w14:paraId="4C35BCE9" w14:textId="77777777" w:rsidR="00B441C4" w:rsidRPr="00720747" w:rsidRDefault="00B441C4" w:rsidP="00687E1D">
                  <w:pPr>
                    <w:spacing w:after="0" w:line="240" w:lineRule="auto"/>
                    <w:jc w:val="center"/>
                    <w:rPr>
                      <w:rFonts w:ascii="MyriadPro-Regular" w:eastAsia="Times New Roman" w:hAnsi="MyriadPro-Regular" w:cs="Arial"/>
                      <w:bCs/>
                      <w:color w:val="FFFFFF" w:themeColor="background1"/>
                      <w:sz w:val="16"/>
                      <w:szCs w:val="16"/>
                      <w:lang w:val="es-ES" w:eastAsia="es-ES"/>
                    </w:rPr>
                  </w:pPr>
                  <w:r w:rsidRPr="00720747">
                    <w:rPr>
                      <w:rFonts w:ascii="MyriadPro-Regular" w:eastAsia="Times New Roman" w:hAnsi="MyriadPro-Regular" w:cs="Arial"/>
                      <w:bCs/>
                      <w:color w:val="FFFFFF" w:themeColor="background1"/>
                      <w:sz w:val="16"/>
                      <w:szCs w:val="16"/>
                      <w:lang w:eastAsia="es-ES"/>
                    </w:rPr>
                    <w:t>TIPO DE VEGETACIÓN Y USO DEL SUELO</w:t>
                  </w:r>
                </w:p>
              </w:tc>
              <w:tc>
                <w:tcPr>
                  <w:tcW w:w="581" w:type="pct"/>
                  <w:tcBorders>
                    <w:top w:val="single" w:sz="8" w:space="0" w:color="FFFFFF"/>
                    <w:left w:val="nil"/>
                    <w:bottom w:val="single" w:sz="8" w:space="0" w:color="FFFFFF"/>
                    <w:right w:val="single" w:sz="8" w:space="0" w:color="FFFFFF"/>
                  </w:tcBorders>
                  <w:shd w:val="clear" w:color="000000" w:fill="4F6228"/>
                  <w:noWrap/>
                  <w:vAlign w:val="center"/>
                  <w:hideMark/>
                </w:tcPr>
                <w:p w14:paraId="449D0638" w14:textId="77777777" w:rsidR="00B441C4" w:rsidRPr="00720747" w:rsidRDefault="00B441C4" w:rsidP="00687E1D">
                  <w:pPr>
                    <w:spacing w:after="0" w:line="240" w:lineRule="auto"/>
                    <w:jc w:val="center"/>
                    <w:rPr>
                      <w:rFonts w:ascii="MyriadPro-Regular" w:eastAsia="Times New Roman" w:hAnsi="MyriadPro-Regular" w:cs="Arial"/>
                      <w:bCs/>
                      <w:color w:val="FFFFFF" w:themeColor="background1"/>
                      <w:sz w:val="16"/>
                      <w:szCs w:val="16"/>
                      <w:lang w:val="es-ES" w:eastAsia="es-ES"/>
                    </w:rPr>
                  </w:pPr>
                  <w:r w:rsidRPr="00720747">
                    <w:rPr>
                      <w:rFonts w:ascii="MyriadPro-Regular" w:eastAsia="Times New Roman" w:hAnsi="MyriadPro-Regular" w:cs="Arial"/>
                      <w:bCs/>
                      <w:color w:val="FFFFFF" w:themeColor="background1"/>
                      <w:sz w:val="16"/>
                      <w:szCs w:val="16"/>
                      <w:lang w:eastAsia="es-ES"/>
                    </w:rPr>
                    <w:t>SUPERFICIE (ha)</w:t>
                  </w:r>
                </w:p>
              </w:tc>
            </w:tr>
            <w:tr w:rsidR="00B441C4" w:rsidRPr="00720747" w14:paraId="501FC82E" w14:textId="77777777" w:rsidTr="00687E1D">
              <w:trPr>
                <w:trHeight w:val="330"/>
              </w:trPr>
              <w:tc>
                <w:tcPr>
                  <w:tcW w:w="613" w:type="pct"/>
                  <w:vMerge w:val="restart"/>
                  <w:tcBorders>
                    <w:top w:val="nil"/>
                    <w:left w:val="single" w:sz="8" w:space="0" w:color="FFFFFF"/>
                    <w:bottom w:val="single" w:sz="8" w:space="0" w:color="FFFFFF"/>
                    <w:right w:val="single" w:sz="12" w:space="0" w:color="FFFFFF"/>
                  </w:tcBorders>
                  <w:shd w:val="clear" w:color="000000" w:fill="76923C"/>
                  <w:vAlign w:val="center"/>
                  <w:hideMark/>
                </w:tcPr>
                <w:p w14:paraId="5F275F36" w14:textId="77777777" w:rsidR="00B441C4" w:rsidRPr="00720747" w:rsidRDefault="00B441C4" w:rsidP="005D0F18">
                  <w:pPr>
                    <w:spacing w:after="0" w:line="240" w:lineRule="auto"/>
                    <w:jc w:val="center"/>
                    <w:rPr>
                      <w:rFonts w:ascii="MyriadPro-Regular" w:eastAsia="Times New Roman" w:hAnsi="MyriadPro-Regular" w:cs="Arial"/>
                      <w:bCs/>
                      <w:color w:val="000000"/>
                      <w:sz w:val="16"/>
                      <w:szCs w:val="16"/>
                      <w:lang w:val="es-ES" w:eastAsia="es-ES"/>
                    </w:rPr>
                  </w:pPr>
                  <w:r w:rsidRPr="00720747">
                    <w:rPr>
                      <w:rFonts w:ascii="MyriadPro-Regular" w:eastAsia="Times New Roman" w:hAnsi="MyriadPro-Regular" w:cs="Arial"/>
                      <w:bCs/>
                      <w:color w:val="000000"/>
                      <w:sz w:val="16"/>
                      <w:szCs w:val="16"/>
                      <w:lang w:eastAsia="es-ES"/>
                    </w:rPr>
                    <w:t>FORESTAL 3,596,428 ha</w:t>
                  </w:r>
                </w:p>
              </w:tc>
              <w:tc>
                <w:tcPr>
                  <w:tcW w:w="800" w:type="pct"/>
                  <w:tcBorders>
                    <w:top w:val="nil"/>
                    <w:left w:val="nil"/>
                    <w:bottom w:val="nil"/>
                    <w:right w:val="single" w:sz="8" w:space="0" w:color="FFFFFF"/>
                  </w:tcBorders>
                  <w:shd w:val="clear" w:color="000000" w:fill="A6C36B"/>
                  <w:hideMark/>
                </w:tcPr>
                <w:p w14:paraId="047C823F"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Calibri"/>
                      <w:color w:val="000000"/>
                      <w:sz w:val="16"/>
                      <w:szCs w:val="16"/>
                      <w:lang w:eastAsia="es-ES"/>
                    </w:rPr>
                    <w:t> </w:t>
                  </w:r>
                </w:p>
              </w:tc>
              <w:tc>
                <w:tcPr>
                  <w:tcW w:w="1774" w:type="pct"/>
                  <w:vMerge w:val="restart"/>
                  <w:tcBorders>
                    <w:top w:val="nil"/>
                    <w:left w:val="single" w:sz="8" w:space="0" w:color="FFFFFF"/>
                    <w:right w:val="nil"/>
                  </w:tcBorders>
                  <w:shd w:val="clear" w:color="000000" w:fill="C2D69B"/>
                  <w:vAlign w:val="bottom"/>
                  <w:hideMark/>
                </w:tcPr>
                <w:p w14:paraId="379D6661"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Bosques</w:t>
                  </w:r>
                </w:p>
                <w:p w14:paraId="2C6D799F"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1,124,973 ha</w:t>
                  </w:r>
                </w:p>
              </w:tc>
              <w:tc>
                <w:tcPr>
                  <w:tcW w:w="1232" w:type="pct"/>
                  <w:tcBorders>
                    <w:top w:val="nil"/>
                    <w:left w:val="single" w:sz="8" w:space="0" w:color="FFFFFF"/>
                    <w:bottom w:val="single" w:sz="8" w:space="0" w:color="FFFFFF"/>
                    <w:right w:val="single" w:sz="8" w:space="0" w:color="FFFFFF"/>
                  </w:tcBorders>
                  <w:shd w:val="clear" w:color="000000" w:fill="D6E3BC"/>
                  <w:noWrap/>
                  <w:vAlign w:val="center"/>
                  <w:hideMark/>
                </w:tcPr>
                <w:p w14:paraId="7EDF8F31"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Bosque de Pino</w:t>
                  </w:r>
                </w:p>
              </w:tc>
              <w:tc>
                <w:tcPr>
                  <w:tcW w:w="581" w:type="pct"/>
                  <w:tcBorders>
                    <w:top w:val="nil"/>
                    <w:left w:val="nil"/>
                    <w:bottom w:val="single" w:sz="8" w:space="0" w:color="FFFFFF"/>
                    <w:right w:val="single" w:sz="8" w:space="0" w:color="FFFFFF"/>
                  </w:tcBorders>
                  <w:shd w:val="clear" w:color="000000" w:fill="EAF1DD"/>
                  <w:noWrap/>
                  <w:vAlign w:val="center"/>
                  <w:hideMark/>
                </w:tcPr>
                <w:p w14:paraId="6185411C"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322,387</w:t>
                  </w:r>
                </w:p>
              </w:tc>
            </w:tr>
            <w:tr w:rsidR="00B441C4" w:rsidRPr="00720747" w14:paraId="60558BD7"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6E4F73F6"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val="restart"/>
                  <w:tcBorders>
                    <w:top w:val="nil"/>
                    <w:left w:val="single" w:sz="12" w:space="0" w:color="FFFFFF"/>
                    <w:right w:val="nil"/>
                  </w:tcBorders>
                  <w:shd w:val="clear" w:color="000000" w:fill="A6C36B"/>
                  <w:vAlign w:val="center"/>
                  <w:hideMark/>
                </w:tcPr>
                <w:p w14:paraId="792089BE"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BOSQUES, SELVAS Y MEZQUITAL</w:t>
                  </w:r>
                </w:p>
                <w:p w14:paraId="70513515"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2,231,732 ha</w:t>
                  </w:r>
                </w:p>
                <w:p w14:paraId="766E5898"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p w14:paraId="0249A3B4"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vMerge/>
                  <w:tcBorders>
                    <w:left w:val="single" w:sz="8" w:space="0" w:color="FFFFFF"/>
                    <w:right w:val="nil"/>
                  </w:tcBorders>
                  <w:vAlign w:val="center"/>
                  <w:hideMark/>
                </w:tcPr>
                <w:p w14:paraId="5E19D3D5"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232" w:type="pct"/>
                  <w:tcBorders>
                    <w:top w:val="nil"/>
                    <w:left w:val="single" w:sz="8" w:space="0" w:color="FFFFFF"/>
                    <w:bottom w:val="single" w:sz="8" w:space="0" w:color="FFFFFF"/>
                    <w:right w:val="single" w:sz="8" w:space="0" w:color="FFFFFF"/>
                  </w:tcBorders>
                  <w:shd w:val="clear" w:color="000000" w:fill="D6E3BC"/>
                  <w:noWrap/>
                  <w:vAlign w:val="center"/>
                  <w:hideMark/>
                </w:tcPr>
                <w:p w14:paraId="1FE06900"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Bosque de Pino-Encino (incluye Encino-Pino)</w:t>
                  </w:r>
                </w:p>
              </w:tc>
              <w:tc>
                <w:tcPr>
                  <w:tcW w:w="581" w:type="pct"/>
                  <w:tcBorders>
                    <w:top w:val="nil"/>
                    <w:left w:val="nil"/>
                    <w:bottom w:val="single" w:sz="8" w:space="0" w:color="FFFFFF"/>
                    <w:right w:val="single" w:sz="8" w:space="0" w:color="FFFFFF"/>
                  </w:tcBorders>
                  <w:shd w:val="clear" w:color="000000" w:fill="EAF1DD"/>
                  <w:noWrap/>
                  <w:vAlign w:val="center"/>
                  <w:hideMark/>
                </w:tcPr>
                <w:p w14:paraId="7F28EE93"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577,750</w:t>
                  </w:r>
                </w:p>
              </w:tc>
            </w:tr>
            <w:tr w:rsidR="00B441C4" w:rsidRPr="00720747" w14:paraId="718E1CA2"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4CE29C7C"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nil"/>
                  </w:tcBorders>
                  <w:vAlign w:val="center"/>
                  <w:hideMark/>
                </w:tcPr>
                <w:p w14:paraId="2C9A11AC"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vMerge/>
                  <w:tcBorders>
                    <w:left w:val="single" w:sz="8" w:space="0" w:color="FFFFFF"/>
                    <w:bottom w:val="nil"/>
                    <w:right w:val="single" w:sz="8" w:space="0" w:color="FFFFFF"/>
                  </w:tcBorders>
                  <w:shd w:val="clear" w:color="000000" w:fill="C2D69B"/>
                  <w:vAlign w:val="bottom"/>
                  <w:hideMark/>
                </w:tcPr>
                <w:p w14:paraId="2DA4B80C"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232" w:type="pct"/>
                  <w:tcBorders>
                    <w:top w:val="nil"/>
                    <w:left w:val="nil"/>
                    <w:bottom w:val="single" w:sz="8" w:space="0" w:color="FFFFFF"/>
                    <w:right w:val="single" w:sz="8" w:space="0" w:color="FFFFFF"/>
                  </w:tcBorders>
                  <w:shd w:val="clear" w:color="000000" w:fill="D6E3BC"/>
                  <w:noWrap/>
                  <w:vAlign w:val="center"/>
                  <w:hideMark/>
                </w:tcPr>
                <w:p w14:paraId="23355F8E"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Bosque de Encino</w:t>
                  </w:r>
                </w:p>
              </w:tc>
              <w:tc>
                <w:tcPr>
                  <w:tcW w:w="581" w:type="pct"/>
                  <w:tcBorders>
                    <w:top w:val="nil"/>
                    <w:left w:val="nil"/>
                    <w:bottom w:val="single" w:sz="8" w:space="0" w:color="FFFFFF"/>
                    <w:right w:val="single" w:sz="8" w:space="0" w:color="FFFFFF"/>
                  </w:tcBorders>
                  <w:shd w:val="clear" w:color="000000" w:fill="EAF1DD"/>
                  <w:noWrap/>
                  <w:vAlign w:val="center"/>
                  <w:hideMark/>
                </w:tcPr>
                <w:p w14:paraId="519F9118"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197,585</w:t>
                  </w:r>
                </w:p>
              </w:tc>
            </w:tr>
            <w:tr w:rsidR="00B441C4" w:rsidRPr="00720747" w14:paraId="4DAD98A6"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73ED67A9"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nil"/>
                  </w:tcBorders>
                  <w:vAlign w:val="center"/>
                  <w:hideMark/>
                </w:tcPr>
                <w:p w14:paraId="75AEC57D"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vMerge w:val="restart"/>
                  <w:tcBorders>
                    <w:top w:val="nil"/>
                    <w:left w:val="single" w:sz="8" w:space="0" w:color="FFFFFF"/>
                    <w:right w:val="single" w:sz="8" w:space="0" w:color="FFFFFF"/>
                  </w:tcBorders>
                  <w:shd w:val="clear" w:color="000000" w:fill="C2D69B"/>
                  <w:vAlign w:val="bottom"/>
                  <w:hideMark/>
                </w:tcPr>
                <w:p w14:paraId="4CDB396E"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Calibri"/>
                      <w:color w:val="000000"/>
                      <w:sz w:val="16"/>
                      <w:szCs w:val="16"/>
                      <w:lang w:val="es-ES" w:eastAsia="es-ES"/>
                    </w:rPr>
                    <w:t> </w:t>
                  </w:r>
                </w:p>
              </w:tc>
              <w:tc>
                <w:tcPr>
                  <w:tcW w:w="1232" w:type="pct"/>
                  <w:tcBorders>
                    <w:top w:val="nil"/>
                    <w:left w:val="nil"/>
                    <w:bottom w:val="single" w:sz="8" w:space="0" w:color="FFFFFF"/>
                    <w:right w:val="single" w:sz="8" w:space="0" w:color="FFFFFF"/>
                  </w:tcBorders>
                  <w:shd w:val="clear" w:color="000000" w:fill="D6E3BC"/>
                  <w:noWrap/>
                  <w:vAlign w:val="center"/>
                  <w:hideMark/>
                </w:tcPr>
                <w:p w14:paraId="113715E4"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 xml:space="preserve">Bosque </w:t>
                  </w:r>
                  <w:proofErr w:type="spellStart"/>
                  <w:r w:rsidRPr="00720747">
                    <w:rPr>
                      <w:rFonts w:ascii="MyriadPro-Regular" w:eastAsia="Times New Roman" w:hAnsi="MyriadPro-Regular" w:cs="Arial"/>
                      <w:color w:val="000000"/>
                      <w:sz w:val="16"/>
                      <w:szCs w:val="16"/>
                      <w:lang w:eastAsia="es-ES"/>
                    </w:rPr>
                    <w:t>Mesófilo</w:t>
                  </w:r>
                  <w:proofErr w:type="spellEnd"/>
                  <w:r w:rsidRPr="00720747">
                    <w:rPr>
                      <w:rFonts w:ascii="MyriadPro-Regular" w:eastAsia="Times New Roman" w:hAnsi="MyriadPro-Regular" w:cs="Arial"/>
                      <w:color w:val="000000"/>
                      <w:sz w:val="16"/>
                      <w:szCs w:val="16"/>
                      <w:lang w:eastAsia="es-ES"/>
                    </w:rPr>
                    <w:t xml:space="preserve"> de Montaña</w:t>
                  </w:r>
                </w:p>
              </w:tc>
              <w:tc>
                <w:tcPr>
                  <w:tcW w:w="581" w:type="pct"/>
                  <w:tcBorders>
                    <w:top w:val="nil"/>
                    <w:left w:val="nil"/>
                    <w:bottom w:val="single" w:sz="8" w:space="0" w:color="FFFFFF"/>
                    <w:right w:val="single" w:sz="8" w:space="0" w:color="FFFFFF"/>
                  </w:tcBorders>
                  <w:shd w:val="clear" w:color="000000" w:fill="EAF1DD"/>
                  <w:noWrap/>
                  <w:vAlign w:val="center"/>
                  <w:hideMark/>
                </w:tcPr>
                <w:p w14:paraId="094F9902"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8,886</w:t>
                  </w:r>
                </w:p>
              </w:tc>
            </w:tr>
            <w:tr w:rsidR="00B441C4" w:rsidRPr="00720747" w14:paraId="5CC2414C"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tcPr>
                <w:p w14:paraId="17C5F79E"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nil"/>
                  </w:tcBorders>
                  <w:vAlign w:val="center"/>
                </w:tcPr>
                <w:p w14:paraId="20B91DAD"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vMerge/>
                  <w:tcBorders>
                    <w:left w:val="single" w:sz="8" w:space="0" w:color="FFFFFF"/>
                    <w:bottom w:val="single" w:sz="8" w:space="0" w:color="FFFFFF"/>
                    <w:right w:val="single" w:sz="8" w:space="0" w:color="FFFFFF"/>
                  </w:tcBorders>
                  <w:shd w:val="clear" w:color="000000" w:fill="C2D69B"/>
                  <w:vAlign w:val="bottom"/>
                </w:tcPr>
                <w:p w14:paraId="78B42EF1"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1232" w:type="pct"/>
                  <w:tcBorders>
                    <w:top w:val="nil"/>
                    <w:left w:val="nil"/>
                    <w:bottom w:val="single" w:sz="8" w:space="0" w:color="FFFFFF"/>
                    <w:right w:val="single" w:sz="8" w:space="0" w:color="FFFFFF"/>
                  </w:tcBorders>
                  <w:shd w:val="clear" w:color="000000" w:fill="D6E3BC"/>
                  <w:noWrap/>
                  <w:vAlign w:val="center"/>
                </w:tcPr>
                <w:p w14:paraId="3379BD20" w14:textId="77777777" w:rsidR="00B441C4" w:rsidRPr="00720747" w:rsidRDefault="00B441C4" w:rsidP="005D0F18">
                  <w:pPr>
                    <w:spacing w:after="0" w:line="240" w:lineRule="auto"/>
                    <w:rPr>
                      <w:rFonts w:ascii="MyriadPro-Regular" w:eastAsia="Times New Roman" w:hAnsi="MyriadPro-Regular" w:cs="Arial"/>
                      <w:color w:val="000000"/>
                      <w:sz w:val="16"/>
                      <w:szCs w:val="16"/>
                      <w:lang w:eastAsia="es-ES"/>
                    </w:rPr>
                  </w:pPr>
                  <w:r w:rsidRPr="00720747">
                    <w:rPr>
                      <w:rFonts w:ascii="MyriadPro-Regular" w:eastAsia="Times New Roman" w:hAnsi="MyriadPro-Regular" w:cs="Arial"/>
                      <w:color w:val="000000"/>
                      <w:sz w:val="16"/>
                      <w:szCs w:val="16"/>
                      <w:lang w:eastAsia="es-ES"/>
                    </w:rPr>
                    <w:t>Bosque de Oyamel</w:t>
                  </w:r>
                </w:p>
              </w:tc>
              <w:tc>
                <w:tcPr>
                  <w:tcW w:w="581" w:type="pct"/>
                  <w:tcBorders>
                    <w:top w:val="nil"/>
                    <w:left w:val="nil"/>
                    <w:bottom w:val="single" w:sz="8" w:space="0" w:color="FFFFFF"/>
                    <w:right w:val="single" w:sz="8" w:space="0" w:color="FFFFFF"/>
                  </w:tcBorders>
                  <w:shd w:val="clear" w:color="000000" w:fill="EAF1DD"/>
                  <w:noWrap/>
                  <w:vAlign w:val="center"/>
                </w:tcPr>
                <w:p w14:paraId="60594BEA"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eastAsia="es-ES"/>
                    </w:rPr>
                  </w:pPr>
                  <w:r w:rsidRPr="00720747">
                    <w:rPr>
                      <w:rFonts w:ascii="MyriadPro-Regular" w:eastAsia="Times New Roman" w:hAnsi="MyriadPro-Regular" w:cs="Arial"/>
                      <w:color w:val="000000"/>
                      <w:sz w:val="16"/>
                      <w:szCs w:val="16"/>
                      <w:lang w:eastAsia="es-ES"/>
                    </w:rPr>
                    <w:t>18,365</w:t>
                  </w:r>
                </w:p>
              </w:tc>
            </w:tr>
            <w:tr w:rsidR="00B441C4" w:rsidRPr="00720747" w14:paraId="54720023"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234FF307"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nil"/>
                  </w:tcBorders>
                  <w:vAlign w:val="center"/>
                  <w:hideMark/>
                </w:tcPr>
                <w:p w14:paraId="4D2B1508"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vMerge w:val="restart"/>
                  <w:tcBorders>
                    <w:top w:val="nil"/>
                    <w:left w:val="single" w:sz="8" w:space="0" w:color="FFFFFF"/>
                    <w:right w:val="single" w:sz="8" w:space="0" w:color="FFFFFF"/>
                  </w:tcBorders>
                  <w:shd w:val="clear" w:color="000000" w:fill="C2D69B"/>
                  <w:noWrap/>
                  <w:vAlign w:val="center"/>
                  <w:hideMark/>
                </w:tcPr>
                <w:p w14:paraId="08D2A44F"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Selvas</w:t>
                  </w:r>
                </w:p>
                <w:p w14:paraId="13F61A5B"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1,106,512 ha</w:t>
                  </w:r>
                </w:p>
              </w:tc>
              <w:tc>
                <w:tcPr>
                  <w:tcW w:w="1232" w:type="pct"/>
                  <w:tcBorders>
                    <w:top w:val="nil"/>
                    <w:left w:val="nil"/>
                    <w:bottom w:val="single" w:sz="8" w:space="0" w:color="FFFFFF"/>
                    <w:right w:val="single" w:sz="8" w:space="0" w:color="FFFFFF"/>
                  </w:tcBorders>
                  <w:shd w:val="clear" w:color="000000" w:fill="D6E3BC"/>
                  <w:noWrap/>
                  <w:vAlign w:val="center"/>
                  <w:hideMark/>
                </w:tcPr>
                <w:p w14:paraId="635DDC9D"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Selva Mediana</w:t>
                  </w:r>
                </w:p>
              </w:tc>
              <w:tc>
                <w:tcPr>
                  <w:tcW w:w="581" w:type="pct"/>
                  <w:tcBorders>
                    <w:top w:val="nil"/>
                    <w:left w:val="nil"/>
                    <w:bottom w:val="single" w:sz="8" w:space="0" w:color="FFFFFF"/>
                    <w:right w:val="single" w:sz="8" w:space="0" w:color="FFFFFF"/>
                  </w:tcBorders>
                  <w:shd w:val="clear" w:color="000000" w:fill="EAF1DD"/>
                  <w:noWrap/>
                  <w:vAlign w:val="center"/>
                  <w:hideMark/>
                </w:tcPr>
                <w:p w14:paraId="22E55EC9"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72,397</w:t>
                  </w:r>
                </w:p>
              </w:tc>
            </w:tr>
            <w:tr w:rsidR="00B441C4" w:rsidRPr="00720747" w14:paraId="5D1B0C67"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347C249E"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single" w:sz="8" w:space="0" w:color="FFFFFF"/>
                  </w:tcBorders>
                  <w:shd w:val="clear" w:color="000000" w:fill="ABC674"/>
                  <w:vAlign w:val="bottom"/>
                  <w:hideMark/>
                </w:tcPr>
                <w:p w14:paraId="19959C70"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vMerge/>
                  <w:tcBorders>
                    <w:left w:val="single" w:sz="8" w:space="0" w:color="FFFFFF"/>
                    <w:right w:val="single" w:sz="8" w:space="0" w:color="FFFFFF"/>
                  </w:tcBorders>
                  <w:vAlign w:val="center"/>
                  <w:hideMark/>
                </w:tcPr>
                <w:p w14:paraId="1B9F42C4"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232" w:type="pct"/>
                  <w:tcBorders>
                    <w:top w:val="nil"/>
                    <w:left w:val="nil"/>
                    <w:bottom w:val="single" w:sz="8" w:space="0" w:color="FFFFFF"/>
                    <w:right w:val="single" w:sz="8" w:space="0" w:color="FFFFFF"/>
                  </w:tcBorders>
                  <w:shd w:val="clear" w:color="000000" w:fill="D6E3BC"/>
                  <w:noWrap/>
                  <w:vAlign w:val="center"/>
                  <w:hideMark/>
                </w:tcPr>
                <w:p w14:paraId="47D11705"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Selva Baja</w:t>
                  </w:r>
                </w:p>
              </w:tc>
              <w:tc>
                <w:tcPr>
                  <w:tcW w:w="581" w:type="pct"/>
                  <w:tcBorders>
                    <w:top w:val="nil"/>
                    <w:left w:val="nil"/>
                    <w:bottom w:val="single" w:sz="8" w:space="0" w:color="FFFFFF"/>
                    <w:right w:val="single" w:sz="8" w:space="0" w:color="FFFFFF"/>
                  </w:tcBorders>
                  <w:shd w:val="clear" w:color="000000" w:fill="EAF1DD"/>
                  <w:noWrap/>
                  <w:vAlign w:val="center"/>
                  <w:hideMark/>
                </w:tcPr>
                <w:p w14:paraId="3B6CEF09"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1,033,318</w:t>
                  </w:r>
                </w:p>
              </w:tc>
            </w:tr>
            <w:tr w:rsidR="00B441C4" w:rsidRPr="00720747" w14:paraId="1B14BE29"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71B7A6FA"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single" w:sz="8" w:space="0" w:color="FFFFFF"/>
                  </w:tcBorders>
                  <w:shd w:val="clear" w:color="000000" w:fill="A6C36B"/>
                  <w:hideMark/>
                </w:tcPr>
                <w:p w14:paraId="2D8DC3AD"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vMerge/>
                  <w:tcBorders>
                    <w:left w:val="single" w:sz="8" w:space="0" w:color="FFFFFF"/>
                    <w:bottom w:val="nil"/>
                    <w:right w:val="single" w:sz="8" w:space="0" w:color="FFFFFF"/>
                  </w:tcBorders>
                  <w:shd w:val="clear" w:color="000000" w:fill="C2D69B"/>
                  <w:noWrap/>
                  <w:vAlign w:val="bottom"/>
                  <w:hideMark/>
                </w:tcPr>
                <w:p w14:paraId="32988B41"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232" w:type="pct"/>
                  <w:tcBorders>
                    <w:top w:val="nil"/>
                    <w:left w:val="nil"/>
                    <w:bottom w:val="single" w:sz="8" w:space="0" w:color="FFFFFF"/>
                    <w:right w:val="single" w:sz="8" w:space="0" w:color="FFFFFF"/>
                  </w:tcBorders>
                  <w:shd w:val="clear" w:color="000000" w:fill="D6E3BC"/>
                  <w:noWrap/>
                  <w:vAlign w:val="center"/>
                  <w:hideMark/>
                </w:tcPr>
                <w:p w14:paraId="21231A6D"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Selva Baja Espinosa</w:t>
                  </w:r>
                </w:p>
              </w:tc>
              <w:tc>
                <w:tcPr>
                  <w:tcW w:w="581" w:type="pct"/>
                  <w:tcBorders>
                    <w:top w:val="nil"/>
                    <w:left w:val="nil"/>
                    <w:bottom w:val="single" w:sz="8" w:space="0" w:color="FFFFFF"/>
                    <w:right w:val="single" w:sz="8" w:space="0" w:color="FFFFFF"/>
                  </w:tcBorders>
                  <w:shd w:val="clear" w:color="000000" w:fill="EAF1DD"/>
                  <w:noWrap/>
                  <w:vAlign w:val="center"/>
                  <w:hideMark/>
                </w:tcPr>
                <w:p w14:paraId="5AB98AF5"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797</w:t>
                  </w:r>
                </w:p>
              </w:tc>
            </w:tr>
            <w:tr w:rsidR="00B441C4" w:rsidRPr="00720747" w14:paraId="459D56AA"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05CFE69E"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single" w:sz="8" w:space="0" w:color="FFFFFF"/>
                  </w:tcBorders>
                  <w:shd w:val="clear" w:color="000000" w:fill="ABC674"/>
                  <w:vAlign w:val="bottom"/>
                  <w:hideMark/>
                </w:tcPr>
                <w:p w14:paraId="13CEE5F6"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tcBorders>
                    <w:top w:val="single" w:sz="8" w:space="0" w:color="FFFFFF"/>
                    <w:left w:val="nil"/>
                    <w:bottom w:val="nil"/>
                    <w:right w:val="single" w:sz="8" w:space="0" w:color="FFFFFF"/>
                  </w:tcBorders>
                  <w:shd w:val="clear" w:color="000000" w:fill="C2D69B"/>
                  <w:vAlign w:val="bottom"/>
                  <w:hideMark/>
                </w:tcPr>
                <w:p w14:paraId="0358C871"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Mezquital</w:t>
                  </w:r>
                </w:p>
              </w:tc>
              <w:tc>
                <w:tcPr>
                  <w:tcW w:w="1232" w:type="pct"/>
                  <w:vMerge w:val="restart"/>
                  <w:tcBorders>
                    <w:top w:val="nil"/>
                    <w:left w:val="single" w:sz="8" w:space="0" w:color="FFFFFF"/>
                    <w:bottom w:val="single" w:sz="8" w:space="0" w:color="FFFFFF"/>
                    <w:right w:val="single" w:sz="8" w:space="0" w:color="FFFFFF"/>
                  </w:tcBorders>
                  <w:shd w:val="clear" w:color="000000" w:fill="D6E3BC"/>
                  <w:noWrap/>
                  <w:vAlign w:val="center"/>
                  <w:hideMark/>
                </w:tcPr>
                <w:p w14:paraId="000E41C4"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Mezquital</w:t>
                  </w:r>
                </w:p>
              </w:tc>
              <w:tc>
                <w:tcPr>
                  <w:tcW w:w="581" w:type="pct"/>
                  <w:vMerge w:val="restart"/>
                  <w:tcBorders>
                    <w:top w:val="nil"/>
                    <w:left w:val="single" w:sz="8" w:space="0" w:color="FFFFFF"/>
                    <w:bottom w:val="single" w:sz="8" w:space="0" w:color="FFFFFF"/>
                    <w:right w:val="single" w:sz="8" w:space="0" w:color="FFFFFF"/>
                  </w:tcBorders>
                  <w:shd w:val="clear" w:color="000000" w:fill="EAF1DD"/>
                  <w:noWrap/>
                  <w:vAlign w:val="center"/>
                  <w:hideMark/>
                </w:tcPr>
                <w:p w14:paraId="3DFD9DD9"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247</w:t>
                  </w:r>
                </w:p>
              </w:tc>
            </w:tr>
            <w:tr w:rsidR="00B441C4" w:rsidRPr="00720747" w14:paraId="1E1715F5" w14:textId="77777777" w:rsidTr="005D0F18">
              <w:trPr>
                <w:trHeight w:val="60"/>
              </w:trPr>
              <w:tc>
                <w:tcPr>
                  <w:tcW w:w="613" w:type="pct"/>
                  <w:vMerge/>
                  <w:tcBorders>
                    <w:top w:val="nil"/>
                    <w:left w:val="single" w:sz="8" w:space="0" w:color="FFFFFF"/>
                    <w:bottom w:val="single" w:sz="8" w:space="0" w:color="FFFFFF"/>
                    <w:right w:val="single" w:sz="12" w:space="0" w:color="FFFFFF"/>
                  </w:tcBorders>
                  <w:vAlign w:val="center"/>
                  <w:hideMark/>
                </w:tcPr>
                <w:p w14:paraId="40128E27"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bottom w:val="single" w:sz="8" w:space="0" w:color="FFFFFF"/>
                    <w:right w:val="single" w:sz="8" w:space="0" w:color="FFFFFF"/>
                  </w:tcBorders>
                  <w:shd w:val="clear" w:color="000000" w:fill="ABC674"/>
                  <w:vAlign w:val="bottom"/>
                  <w:hideMark/>
                </w:tcPr>
                <w:p w14:paraId="22E43234"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tcBorders>
                    <w:top w:val="nil"/>
                    <w:left w:val="nil"/>
                    <w:bottom w:val="single" w:sz="8" w:space="0" w:color="FFFFFF"/>
                    <w:right w:val="single" w:sz="8" w:space="0" w:color="FFFFFF"/>
                  </w:tcBorders>
                  <w:shd w:val="clear" w:color="000000" w:fill="C2D69B"/>
                  <w:vAlign w:val="bottom"/>
                  <w:hideMark/>
                </w:tcPr>
                <w:p w14:paraId="2766CC09"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247 ha</w:t>
                  </w:r>
                </w:p>
              </w:tc>
              <w:tc>
                <w:tcPr>
                  <w:tcW w:w="1232" w:type="pct"/>
                  <w:vMerge/>
                  <w:tcBorders>
                    <w:top w:val="nil"/>
                    <w:left w:val="single" w:sz="8" w:space="0" w:color="FFFFFF"/>
                    <w:bottom w:val="single" w:sz="8" w:space="0" w:color="FFFFFF"/>
                    <w:right w:val="single" w:sz="8" w:space="0" w:color="FFFFFF"/>
                  </w:tcBorders>
                  <w:vAlign w:val="center"/>
                  <w:hideMark/>
                </w:tcPr>
                <w:p w14:paraId="2DAE3243"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581" w:type="pct"/>
                  <w:vMerge/>
                  <w:tcBorders>
                    <w:top w:val="nil"/>
                    <w:left w:val="single" w:sz="8" w:space="0" w:color="FFFFFF"/>
                    <w:bottom w:val="single" w:sz="8" w:space="0" w:color="FFFFFF"/>
                    <w:right w:val="single" w:sz="8" w:space="0" w:color="FFFFFF"/>
                  </w:tcBorders>
                  <w:vAlign w:val="center"/>
                  <w:hideMark/>
                </w:tcPr>
                <w:p w14:paraId="0ECB08A3"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p>
              </w:tc>
            </w:tr>
            <w:tr w:rsidR="00B441C4" w:rsidRPr="00720747" w14:paraId="276CFBC6" w14:textId="77777777" w:rsidTr="00687E1D">
              <w:trPr>
                <w:trHeight w:val="300"/>
              </w:trPr>
              <w:tc>
                <w:tcPr>
                  <w:tcW w:w="613" w:type="pct"/>
                  <w:vMerge/>
                  <w:tcBorders>
                    <w:top w:val="nil"/>
                    <w:left w:val="single" w:sz="8" w:space="0" w:color="FFFFFF"/>
                    <w:bottom w:val="single" w:sz="8" w:space="0" w:color="FFFFFF"/>
                    <w:right w:val="single" w:sz="12" w:space="0" w:color="FFFFFF"/>
                  </w:tcBorders>
                  <w:vAlign w:val="center"/>
                  <w:hideMark/>
                </w:tcPr>
                <w:p w14:paraId="76B20914"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val="restart"/>
                  <w:tcBorders>
                    <w:top w:val="nil"/>
                    <w:left w:val="single" w:sz="12" w:space="0" w:color="FFFFFF"/>
                    <w:right w:val="single" w:sz="8" w:space="0" w:color="FFFFFF"/>
                  </w:tcBorders>
                  <w:shd w:val="clear" w:color="000000" w:fill="ABC674"/>
                  <w:vAlign w:val="center"/>
                  <w:hideMark/>
                </w:tcPr>
                <w:p w14:paraId="2713437F"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eastAsia="es-ES"/>
                    </w:rPr>
                  </w:pPr>
                  <w:r w:rsidRPr="00720747">
                    <w:rPr>
                      <w:rFonts w:ascii="MyriadPro-Regular" w:eastAsia="Times New Roman" w:hAnsi="MyriadPro-Regular" w:cs="Arial"/>
                      <w:color w:val="000000"/>
                      <w:sz w:val="16"/>
                      <w:szCs w:val="16"/>
                      <w:lang w:eastAsia="es-ES"/>
                    </w:rPr>
                    <w:t>OTROS ECOSISTEMAS</w:t>
                  </w:r>
                </w:p>
                <w:p w14:paraId="29112319"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 xml:space="preserve"> 225,799 ha</w:t>
                  </w:r>
                </w:p>
                <w:p w14:paraId="117C4642"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tcBorders>
                    <w:top w:val="nil"/>
                    <w:left w:val="nil"/>
                    <w:bottom w:val="nil"/>
                    <w:right w:val="single" w:sz="8" w:space="0" w:color="FFFFFF"/>
                  </w:tcBorders>
                  <w:shd w:val="clear" w:color="000000" w:fill="C2D69B"/>
                  <w:vAlign w:val="bottom"/>
                  <w:hideMark/>
                </w:tcPr>
                <w:p w14:paraId="67A01316"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Vegetación de Zonas Áridas y Semiáridas</w:t>
                  </w:r>
                </w:p>
              </w:tc>
              <w:tc>
                <w:tcPr>
                  <w:tcW w:w="1232" w:type="pct"/>
                  <w:tcBorders>
                    <w:top w:val="nil"/>
                    <w:left w:val="nil"/>
                    <w:bottom w:val="single" w:sz="8" w:space="0" w:color="FFFFFF"/>
                    <w:right w:val="single" w:sz="8" w:space="0" w:color="FFFFFF"/>
                  </w:tcBorders>
                  <w:shd w:val="clear" w:color="000000" w:fill="D6E3BC"/>
                  <w:noWrap/>
                  <w:vAlign w:val="center"/>
                  <w:hideMark/>
                </w:tcPr>
                <w:p w14:paraId="03092D47"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Matorral Subtropical</w:t>
                  </w:r>
                </w:p>
              </w:tc>
              <w:tc>
                <w:tcPr>
                  <w:tcW w:w="581" w:type="pct"/>
                  <w:tcBorders>
                    <w:top w:val="nil"/>
                    <w:left w:val="nil"/>
                    <w:bottom w:val="single" w:sz="8" w:space="0" w:color="FFFFFF"/>
                    <w:right w:val="single" w:sz="8" w:space="0" w:color="FFFFFF"/>
                  </w:tcBorders>
                  <w:shd w:val="clear" w:color="000000" w:fill="EAF1DD"/>
                  <w:noWrap/>
                  <w:vAlign w:val="center"/>
                  <w:hideMark/>
                </w:tcPr>
                <w:p w14:paraId="121AC10E"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207,546</w:t>
                  </w:r>
                </w:p>
              </w:tc>
            </w:tr>
            <w:tr w:rsidR="00B441C4" w:rsidRPr="00720747" w14:paraId="1EEC4CE7"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1B03A290"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single" w:sz="8" w:space="0" w:color="FFFFFF"/>
                  </w:tcBorders>
                  <w:vAlign w:val="center"/>
                  <w:hideMark/>
                </w:tcPr>
                <w:p w14:paraId="75803AA9"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1774" w:type="pct"/>
                  <w:tcBorders>
                    <w:top w:val="nil"/>
                    <w:left w:val="nil"/>
                    <w:bottom w:val="single" w:sz="8" w:space="0" w:color="FFFFFF"/>
                    <w:right w:val="single" w:sz="8" w:space="0" w:color="FFFFFF"/>
                  </w:tcBorders>
                  <w:shd w:val="clear" w:color="000000" w:fill="C2D69B"/>
                  <w:vAlign w:val="bottom"/>
                  <w:hideMark/>
                </w:tcPr>
                <w:p w14:paraId="5357691E"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208,257 ha</w:t>
                  </w:r>
                </w:p>
              </w:tc>
              <w:tc>
                <w:tcPr>
                  <w:tcW w:w="1232" w:type="pct"/>
                  <w:tcBorders>
                    <w:top w:val="nil"/>
                    <w:left w:val="nil"/>
                    <w:bottom w:val="single" w:sz="8" w:space="0" w:color="FFFFFF"/>
                    <w:right w:val="single" w:sz="8" w:space="0" w:color="FFFFFF"/>
                  </w:tcBorders>
                  <w:shd w:val="clear" w:color="000000" w:fill="D6E3BC"/>
                  <w:noWrap/>
                  <w:vAlign w:val="center"/>
                  <w:hideMark/>
                </w:tcPr>
                <w:p w14:paraId="5B688A53"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 xml:space="preserve">Matorral </w:t>
                  </w:r>
                  <w:proofErr w:type="spellStart"/>
                  <w:r w:rsidRPr="00720747">
                    <w:rPr>
                      <w:rFonts w:ascii="MyriadPro-Regular" w:eastAsia="Times New Roman" w:hAnsi="MyriadPro-Regular" w:cs="Arial"/>
                      <w:color w:val="000000"/>
                      <w:sz w:val="16"/>
                      <w:szCs w:val="16"/>
                      <w:lang w:eastAsia="es-ES"/>
                    </w:rPr>
                    <w:t>Crasicaule</w:t>
                  </w:r>
                  <w:proofErr w:type="spellEnd"/>
                </w:p>
              </w:tc>
              <w:tc>
                <w:tcPr>
                  <w:tcW w:w="581" w:type="pct"/>
                  <w:tcBorders>
                    <w:top w:val="nil"/>
                    <w:left w:val="nil"/>
                    <w:bottom w:val="single" w:sz="8" w:space="0" w:color="FFFFFF"/>
                    <w:right w:val="single" w:sz="8" w:space="0" w:color="FFFFFF"/>
                  </w:tcBorders>
                  <w:shd w:val="clear" w:color="000000" w:fill="EAF1DD"/>
                  <w:noWrap/>
                  <w:vAlign w:val="center"/>
                  <w:hideMark/>
                </w:tcPr>
                <w:p w14:paraId="548F779B"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711</w:t>
                  </w:r>
                </w:p>
              </w:tc>
            </w:tr>
            <w:tr w:rsidR="00B441C4" w:rsidRPr="00720747" w14:paraId="0811F21C"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6A4EFA5B"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single" w:sz="8" w:space="0" w:color="FFFFFF"/>
                  </w:tcBorders>
                  <w:vAlign w:val="center"/>
                  <w:hideMark/>
                </w:tcPr>
                <w:p w14:paraId="72E756FD"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1774" w:type="pct"/>
                  <w:vMerge w:val="restart"/>
                  <w:tcBorders>
                    <w:top w:val="nil"/>
                    <w:left w:val="single" w:sz="8" w:space="0" w:color="FFFFFF"/>
                    <w:bottom w:val="nil"/>
                    <w:right w:val="single" w:sz="8" w:space="0" w:color="FFFFFF"/>
                  </w:tcBorders>
                  <w:shd w:val="clear" w:color="000000" w:fill="C2D69B"/>
                  <w:vAlign w:val="bottom"/>
                  <w:hideMark/>
                </w:tcPr>
                <w:p w14:paraId="30011143"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Otros Tipos de Vegetación Forestal</w:t>
                  </w:r>
                </w:p>
              </w:tc>
              <w:tc>
                <w:tcPr>
                  <w:tcW w:w="1232" w:type="pct"/>
                  <w:tcBorders>
                    <w:top w:val="nil"/>
                    <w:left w:val="nil"/>
                    <w:bottom w:val="single" w:sz="8" w:space="0" w:color="FFFFFF"/>
                    <w:right w:val="single" w:sz="8" w:space="0" w:color="FFFFFF"/>
                  </w:tcBorders>
                  <w:shd w:val="clear" w:color="000000" w:fill="D6E3BC"/>
                  <w:noWrap/>
                  <w:vAlign w:val="center"/>
                  <w:hideMark/>
                </w:tcPr>
                <w:p w14:paraId="33FFF9CD"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Palmar</w:t>
                  </w:r>
                </w:p>
              </w:tc>
              <w:tc>
                <w:tcPr>
                  <w:tcW w:w="581" w:type="pct"/>
                  <w:tcBorders>
                    <w:top w:val="nil"/>
                    <w:left w:val="nil"/>
                    <w:bottom w:val="single" w:sz="8" w:space="0" w:color="FFFFFF"/>
                    <w:right w:val="single" w:sz="8" w:space="0" w:color="FFFFFF"/>
                  </w:tcBorders>
                  <w:shd w:val="clear" w:color="000000" w:fill="EAF1DD"/>
                  <w:noWrap/>
                  <w:vAlign w:val="center"/>
                  <w:hideMark/>
                </w:tcPr>
                <w:p w14:paraId="7E1F0BBB"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1,377</w:t>
                  </w:r>
                </w:p>
              </w:tc>
            </w:tr>
            <w:tr w:rsidR="00B441C4" w:rsidRPr="00720747" w14:paraId="52C09456"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3381C250"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single" w:sz="8" w:space="0" w:color="FFFFFF"/>
                  </w:tcBorders>
                  <w:vAlign w:val="center"/>
                  <w:hideMark/>
                </w:tcPr>
                <w:p w14:paraId="14083C00"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1774" w:type="pct"/>
                  <w:vMerge/>
                  <w:tcBorders>
                    <w:top w:val="nil"/>
                    <w:left w:val="single" w:sz="8" w:space="0" w:color="FFFFFF"/>
                    <w:bottom w:val="nil"/>
                    <w:right w:val="single" w:sz="8" w:space="0" w:color="FFFFFF"/>
                  </w:tcBorders>
                  <w:vAlign w:val="center"/>
                  <w:hideMark/>
                </w:tcPr>
                <w:p w14:paraId="1AF283AD"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1232" w:type="pct"/>
                  <w:tcBorders>
                    <w:top w:val="nil"/>
                    <w:left w:val="nil"/>
                    <w:bottom w:val="single" w:sz="8" w:space="0" w:color="FFFFFF"/>
                    <w:right w:val="single" w:sz="8" w:space="0" w:color="FFFFFF"/>
                  </w:tcBorders>
                  <w:shd w:val="clear" w:color="000000" w:fill="D6E3BC"/>
                  <w:noWrap/>
                  <w:vAlign w:val="center"/>
                  <w:hideMark/>
                </w:tcPr>
                <w:p w14:paraId="64B235BF"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Manglar</w:t>
                  </w:r>
                </w:p>
              </w:tc>
              <w:tc>
                <w:tcPr>
                  <w:tcW w:w="581" w:type="pct"/>
                  <w:tcBorders>
                    <w:top w:val="nil"/>
                    <w:left w:val="nil"/>
                    <w:bottom w:val="single" w:sz="8" w:space="0" w:color="FFFFFF"/>
                    <w:right w:val="single" w:sz="8" w:space="0" w:color="FFFFFF"/>
                  </w:tcBorders>
                  <w:shd w:val="clear" w:color="000000" w:fill="EAF1DD"/>
                  <w:noWrap/>
                  <w:vAlign w:val="center"/>
                  <w:hideMark/>
                </w:tcPr>
                <w:p w14:paraId="23C4DF8B"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1,014</w:t>
                  </w:r>
                </w:p>
              </w:tc>
            </w:tr>
            <w:tr w:rsidR="00B441C4" w:rsidRPr="00720747" w14:paraId="6A09BDDE"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410793F7"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single" w:sz="8" w:space="0" w:color="FFFFFF"/>
                  </w:tcBorders>
                  <w:shd w:val="clear" w:color="000000" w:fill="ABC674"/>
                  <w:hideMark/>
                </w:tcPr>
                <w:p w14:paraId="5AC433B6"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1774" w:type="pct"/>
                  <w:vMerge w:val="restart"/>
                  <w:tcBorders>
                    <w:top w:val="nil"/>
                    <w:left w:val="single" w:sz="8" w:space="0" w:color="FFFFFF"/>
                    <w:bottom w:val="single" w:sz="8" w:space="0" w:color="FFFFFF"/>
                    <w:right w:val="single" w:sz="8" w:space="0" w:color="FFFFFF"/>
                  </w:tcBorders>
                  <w:shd w:val="clear" w:color="000000" w:fill="C2D69B"/>
                  <w:hideMark/>
                </w:tcPr>
                <w:p w14:paraId="3400A3CF"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17,542 ha</w:t>
                  </w:r>
                </w:p>
              </w:tc>
              <w:tc>
                <w:tcPr>
                  <w:tcW w:w="1232" w:type="pct"/>
                  <w:tcBorders>
                    <w:top w:val="nil"/>
                    <w:left w:val="nil"/>
                    <w:bottom w:val="single" w:sz="8" w:space="0" w:color="FFFFFF"/>
                    <w:right w:val="single" w:sz="8" w:space="0" w:color="FFFFFF"/>
                  </w:tcBorders>
                  <w:shd w:val="clear" w:color="000000" w:fill="D6E3BC"/>
                  <w:noWrap/>
                  <w:vAlign w:val="center"/>
                  <w:hideMark/>
                </w:tcPr>
                <w:p w14:paraId="17991C1C"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 xml:space="preserve">Vegetación Halófila y </w:t>
                  </w:r>
                  <w:proofErr w:type="spellStart"/>
                  <w:r w:rsidRPr="00720747">
                    <w:rPr>
                      <w:rFonts w:ascii="MyriadPro-Regular" w:eastAsia="Times New Roman" w:hAnsi="MyriadPro-Regular" w:cs="Arial"/>
                      <w:color w:val="000000"/>
                      <w:sz w:val="16"/>
                      <w:szCs w:val="16"/>
                      <w:lang w:eastAsia="es-ES"/>
                    </w:rPr>
                    <w:t>Gipsófila</w:t>
                  </w:r>
                  <w:proofErr w:type="spellEnd"/>
                </w:p>
              </w:tc>
              <w:tc>
                <w:tcPr>
                  <w:tcW w:w="581" w:type="pct"/>
                  <w:tcBorders>
                    <w:top w:val="nil"/>
                    <w:left w:val="nil"/>
                    <w:bottom w:val="single" w:sz="8" w:space="0" w:color="FFFFFF"/>
                    <w:right w:val="single" w:sz="8" w:space="0" w:color="FFFFFF"/>
                  </w:tcBorders>
                  <w:shd w:val="clear" w:color="000000" w:fill="EAF1DD"/>
                  <w:noWrap/>
                  <w:vAlign w:val="center"/>
                  <w:hideMark/>
                </w:tcPr>
                <w:p w14:paraId="67D824D4"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4,228</w:t>
                  </w:r>
                </w:p>
              </w:tc>
            </w:tr>
            <w:tr w:rsidR="00B441C4" w:rsidRPr="00720747" w14:paraId="04C8C657"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12C5DA39"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bottom w:val="single" w:sz="8" w:space="0" w:color="FFFFFF"/>
                    <w:right w:val="single" w:sz="8" w:space="0" w:color="FFFFFF"/>
                  </w:tcBorders>
                  <w:shd w:val="clear" w:color="000000" w:fill="ABC674"/>
                  <w:hideMark/>
                </w:tcPr>
                <w:p w14:paraId="4B5177C0"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1774" w:type="pct"/>
                  <w:vMerge/>
                  <w:tcBorders>
                    <w:top w:val="nil"/>
                    <w:left w:val="single" w:sz="8" w:space="0" w:color="FFFFFF"/>
                    <w:bottom w:val="single" w:sz="8" w:space="0" w:color="FFFFFF"/>
                    <w:right w:val="single" w:sz="8" w:space="0" w:color="FFFFFF"/>
                  </w:tcBorders>
                  <w:vAlign w:val="center"/>
                  <w:hideMark/>
                </w:tcPr>
                <w:p w14:paraId="0F6BDFB0"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1232" w:type="pct"/>
                  <w:tcBorders>
                    <w:top w:val="nil"/>
                    <w:left w:val="nil"/>
                    <w:bottom w:val="single" w:sz="8" w:space="0" w:color="FFFFFF"/>
                    <w:right w:val="single" w:sz="8" w:space="0" w:color="FFFFFF"/>
                  </w:tcBorders>
                  <w:shd w:val="clear" w:color="000000" w:fill="D6E3BC"/>
                  <w:noWrap/>
                  <w:vAlign w:val="center"/>
                  <w:hideMark/>
                </w:tcPr>
                <w:p w14:paraId="38711BBC"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Vegetación Hidrófila</w:t>
                  </w:r>
                </w:p>
              </w:tc>
              <w:tc>
                <w:tcPr>
                  <w:tcW w:w="581" w:type="pct"/>
                  <w:tcBorders>
                    <w:top w:val="nil"/>
                    <w:left w:val="nil"/>
                    <w:bottom w:val="single" w:sz="8" w:space="0" w:color="FFFFFF"/>
                    <w:right w:val="single" w:sz="8" w:space="0" w:color="FFFFFF"/>
                  </w:tcBorders>
                  <w:shd w:val="clear" w:color="000000" w:fill="EAF1DD"/>
                  <w:noWrap/>
                  <w:vAlign w:val="center"/>
                  <w:hideMark/>
                </w:tcPr>
                <w:p w14:paraId="6641C8FF"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10,923</w:t>
                  </w:r>
                </w:p>
              </w:tc>
            </w:tr>
            <w:tr w:rsidR="00B441C4" w:rsidRPr="00720747" w14:paraId="37F53C64" w14:textId="77777777" w:rsidTr="00687E1D">
              <w:trPr>
                <w:trHeight w:val="375"/>
              </w:trPr>
              <w:tc>
                <w:tcPr>
                  <w:tcW w:w="613" w:type="pct"/>
                  <w:vMerge/>
                  <w:tcBorders>
                    <w:top w:val="nil"/>
                    <w:left w:val="single" w:sz="8" w:space="0" w:color="FFFFFF"/>
                    <w:bottom w:val="single" w:sz="8" w:space="0" w:color="FFFFFF"/>
                    <w:right w:val="single" w:sz="12" w:space="0" w:color="FFFFFF"/>
                  </w:tcBorders>
                  <w:vAlign w:val="center"/>
                  <w:hideMark/>
                </w:tcPr>
                <w:p w14:paraId="256DBA12"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val="restart"/>
                  <w:tcBorders>
                    <w:top w:val="nil"/>
                    <w:left w:val="single" w:sz="12" w:space="0" w:color="FFFFFF"/>
                    <w:right w:val="nil"/>
                  </w:tcBorders>
                  <w:shd w:val="clear" w:color="000000" w:fill="ABC674"/>
                  <w:noWrap/>
                  <w:vAlign w:val="center"/>
                  <w:hideMark/>
                </w:tcPr>
                <w:p w14:paraId="7D87FC6F"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DEGRADACIÓN</w:t>
                  </w:r>
                </w:p>
                <w:p w14:paraId="64EC1B7E"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1,138,897 ha</w:t>
                  </w:r>
                </w:p>
              </w:tc>
              <w:tc>
                <w:tcPr>
                  <w:tcW w:w="1774" w:type="pct"/>
                  <w:tcBorders>
                    <w:top w:val="nil"/>
                    <w:left w:val="single" w:sz="8" w:space="0" w:color="FFFFFF"/>
                    <w:bottom w:val="nil"/>
                    <w:right w:val="single" w:sz="8" w:space="0" w:color="FFFFFF"/>
                  </w:tcBorders>
                  <w:shd w:val="clear" w:color="000000" w:fill="C2D69B"/>
                  <w:vAlign w:val="bottom"/>
                  <w:hideMark/>
                </w:tcPr>
                <w:p w14:paraId="50E7A3A3"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Vegetación Degradada</w:t>
                  </w:r>
                </w:p>
              </w:tc>
              <w:tc>
                <w:tcPr>
                  <w:tcW w:w="1232" w:type="pct"/>
                  <w:vMerge w:val="restart"/>
                  <w:tcBorders>
                    <w:top w:val="nil"/>
                    <w:left w:val="single" w:sz="8" w:space="0" w:color="FFFFFF"/>
                    <w:bottom w:val="single" w:sz="8" w:space="0" w:color="FFFFFF"/>
                    <w:right w:val="single" w:sz="8" w:space="0" w:color="FFFFFF"/>
                  </w:tcBorders>
                  <w:shd w:val="clear" w:color="000000" w:fill="D6E3BC"/>
                  <w:noWrap/>
                  <w:vAlign w:val="center"/>
                  <w:hideMark/>
                </w:tcPr>
                <w:p w14:paraId="617D8F83"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Vegetación Secundaria</w:t>
                  </w:r>
                </w:p>
              </w:tc>
              <w:tc>
                <w:tcPr>
                  <w:tcW w:w="581" w:type="pct"/>
                  <w:vMerge w:val="restart"/>
                  <w:tcBorders>
                    <w:top w:val="nil"/>
                    <w:left w:val="single" w:sz="8" w:space="0" w:color="FFFFFF"/>
                    <w:bottom w:val="single" w:sz="8" w:space="0" w:color="FFFFFF"/>
                    <w:right w:val="single" w:sz="8" w:space="0" w:color="FFFFFF"/>
                  </w:tcBorders>
                  <w:shd w:val="clear" w:color="000000" w:fill="EAF1DD"/>
                  <w:noWrap/>
                  <w:vAlign w:val="center"/>
                  <w:hideMark/>
                </w:tcPr>
                <w:p w14:paraId="28F772A0"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864,323</w:t>
                  </w:r>
                </w:p>
              </w:tc>
            </w:tr>
            <w:tr w:rsidR="00B441C4" w:rsidRPr="00720747" w14:paraId="51BE021F"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561AA11E"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nil"/>
                  </w:tcBorders>
                  <w:vAlign w:val="center"/>
                  <w:hideMark/>
                </w:tcPr>
                <w:p w14:paraId="56A3DF1A"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tcBorders>
                    <w:top w:val="nil"/>
                    <w:left w:val="single" w:sz="8" w:space="0" w:color="FFFFFF"/>
                    <w:bottom w:val="single" w:sz="8" w:space="0" w:color="FFFFFF"/>
                    <w:right w:val="single" w:sz="8" w:space="0" w:color="FFFFFF"/>
                  </w:tcBorders>
                  <w:shd w:val="clear" w:color="000000" w:fill="C2D69B"/>
                  <w:vAlign w:val="center"/>
                  <w:hideMark/>
                </w:tcPr>
                <w:p w14:paraId="67B2D52A"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864,323 ha</w:t>
                  </w:r>
                </w:p>
              </w:tc>
              <w:tc>
                <w:tcPr>
                  <w:tcW w:w="1232" w:type="pct"/>
                  <w:vMerge/>
                  <w:tcBorders>
                    <w:top w:val="nil"/>
                    <w:left w:val="single" w:sz="8" w:space="0" w:color="FFFFFF"/>
                    <w:bottom w:val="single" w:sz="8" w:space="0" w:color="FFFFFF"/>
                    <w:right w:val="single" w:sz="8" w:space="0" w:color="FFFFFF"/>
                  </w:tcBorders>
                  <w:vAlign w:val="center"/>
                  <w:hideMark/>
                </w:tcPr>
                <w:p w14:paraId="52A89B9A"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581" w:type="pct"/>
                  <w:vMerge/>
                  <w:tcBorders>
                    <w:top w:val="nil"/>
                    <w:left w:val="single" w:sz="8" w:space="0" w:color="FFFFFF"/>
                    <w:bottom w:val="single" w:sz="8" w:space="0" w:color="FFFFFF"/>
                    <w:right w:val="single" w:sz="8" w:space="0" w:color="FFFFFF"/>
                  </w:tcBorders>
                  <w:vAlign w:val="center"/>
                  <w:hideMark/>
                </w:tcPr>
                <w:p w14:paraId="296639A4"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p>
              </w:tc>
            </w:tr>
            <w:tr w:rsidR="00B441C4" w:rsidRPr="00720747" w14:paraId="55A4EF2D"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01644C49"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nil"/>
                  </w:tcBorders>
                  <w:vAlign w:val="center"/>
                  <w:hideMark/>
                </w:tcPr>
                <w:p w14:paraId="7FCF4B02"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tcBorders>
                    <w:top w:val="nil"/>
                    <w:left w:val="single" w:sz="8" w:space="0" w:color="FFFFFF"/>
                    <w:bottom w:val="nil"/>
                    <w:right w:val="single" w:sz="8" w:space="0" w:color="FFFFFF"/>
                  </w:tcBorders>
                  <w:shd w:val="clear" w:color="000000" w:fill="C2D69B"/>
                  <w:vAlign w:val="bottom"/>
                  <w:hideMark/>
                </w:tcPr>
                <w:p w14:paraId="4E7D784C"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Superficie Erosionada</w:t>
                  </w:r>
                </w:p>
              </w:tc>
              <w:tc>
                <w:tcPr>
                  <w:tcW w:w="1232" w:type="pct"/>
                  <w:tcBorders>
                    <w:top w:val="nil"/>
                    <w:left w:val="nil"/>
                    <w:bottom w:val="single" w:sz="8" w:space="0" w:color="FFFFFF"/>
                    <w:right w:val="single" w:sz="8" w:space="0" w:color="FFFFFF"/>
                  </w:tcBorders>
                  <w:shd w:val="clear" w:color="000000" w:fill="D6E3BC"/>
                  <w:noWrap/>
                  <w:vAlign w:val="center"/>
                  <w:hideMark/>
                </w:tcPr>
                <w:p w14:paraId="3E7CE8A1"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Erosión</w:t>
                  </w:r>
                </w:p>
              </w:tc>
              <w:tc>
                <w:tcPr>
                  <w:tcW w:w="581" w:type="pct"/>
                  <w:tcBorders>
                    <w:top w:val="nil"/>
                    <w:left w:val="nil"/>
                    <w:bottom w:val="single" w:sz="8" w:space="0" w:color="FFFFFF"/>
                    <w:right w:val="single" w:sz="8" w:space="0" w:color="FFFFFF"/>
                  </w:tcBorders>
                  <w:shd w:val="clear" w:color="000000" w:fill="EAF1DD"/>
                  <w:noWrap/>
                  <w:vAlign w:val="center"/>
                  <w:hideMark/>
                </w:tcPr>
                <w:p w14:paraId="58F54D57"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269,666</w:t>
                  </w:r>
                </w:p>
              </w:tc>
            </w:tr>
            <w:tr w:rsidR="00B441C4" w:rsidRPr="00720747" w14:paraId="0D86D5FF" w14:textId="77777777" w:rsidTr="00687E1D">
              <w:trPr>
                <w:trHeight w:val="330"/>
              </w:trPr>
              <w:tc>
                <w:tcPr>
                  <w:tcW w:w="613" w:type="pct"/>
                  <w:vMerge/>
                  <w:tcBorders>
                    <w:top w:val="nil"/>
                    <w:left w:val="single" w:sz="8" w:space="0" w:color="FFFFFF"/>
                    <w:bottom w:val="single" w:sz="8" w:space="0" w:color="FFFFFF"/>
                    <w:right w:val="single" w:sz="12" w:space="0" w:color="FFFFFF"/>
                  </w:tcBorders>
                  <w:vAlign w:val="center"/>
                  <w:hideMark/>
                </w:tcPr>
                <w:p w14:paraId="337872C1"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single" w:sz="8" w:space="0" w:color="FFFFFF"/>
                  </w:tcBorders>
                  <w:shd w:val="clear" w:color="000000" w:fill="ABC674"/>
                  <w:noWrap/>
                  <w:vAlign w:val="center"/>
                  <w:hideMark/>
                </w:tcPr>
                <w:p w14:paraId="2ED7350C"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tcBorders>
                    <w:top w:val="nil"/>
                    <w:left w:val="nil"/>
                    <w:bottom w:val="single" w:sz="8" w:space="0" w:color="FFFFFF"/>
                    <w:right w:val="single" w:sz="8" w:space="0" w:color="FFFFFF"/>
                  </w:tcBorders>
                  <w:shd w:val="clear" w:color="000000" w:fill="C2D69B"/>
                  <w:vAlign w:val="bottom"/>
                  <w:hideMark/>
                </w:tcPr>
                <w:p w14:paraId="111AEC86"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269,891 ha</w:t>
                  </w:r>
                </w:p>
              </w:tc>
              <w:tc>
                <w:tcPr>
                  <w:tcW w:w="1232" w:type="pct"/>
                  <w:tcBorders>
                    <w:top w:val="nil"/>
                    <w:left w:val="nil"/>
                    <w:bottom w:val="single" w:sz="8" w:space="0" w:color="FFFFFF"/>
                    <w:right w:val="single" w:sz="8" w:space="0" w:color="FFFFFF"/>
                  </w:tcBorders>
                  <w:shd w:val="clear" w:color="000000" w:fill="D6E3BC"/>
                  <w:noWrap/>
                  <w:vAlign w:val="center"/>
                  <w:hideMark/>
                </w:tcPr>
                <w:p w14:paraId="50F07804"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Deslaves</w:t>
                  </w:r>
                </w:p>
              </w:tc>
              <w:tc>
                <w:tcPr>
                  <w:tcW w:w="581" w:type="pct"/>
                  <w:tcBorders>
                    <w:top w:val="nil"/>
                    <w:left w:val="nil"/>
                    <w:bottom w:val="single" w:sz="8" w:space="0" w:color="FFFFFF"/>
                    <w:right w:val="single" w:sz="8" w:space="0" w:color="FFFFFF"/>
                  </w:tcBorders>
                  <w:shd w:val="clear" w:color="000000" w:fill="EAF1DD"/>
                  <w:noWrap/>
                  <w:vAlign w:val="center"/>
                  <w:hideMark/>
                </w:tcPr>
                <w:p w14:paraId="34391928"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225</w:t>
                  </w:r>
                </w:p>
              </w:tc>
            </w:tr>
            <w:tr w:rsidR="00B441C4" w:rsidRPr="00720747" w14:paraId="23EE3656"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08CC4F89"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bottom w:val="nil"/>
                    <w:right w:val="single" w:sz="8" w:space="0" w:color="FFFFFF"/>
                  </w:tcBorders>
                  <w:vAlign w:val="center"/>
                  <w:hideMark/>
                </w:tcPr>
                <w:p w14:paraId="21140194"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1774" w:type="pct"/>
                  <w:tcBorders>
                    <w:top w:val="nil"/>
                    <w:left w:val="nil"/>
                    <w:bottom w:val="nil"/>
                    <w:right w:val="single" w:sz="8" w:space="0" w:color="FFFFFF"/>
                  </w:tcBorders>
                  <w:shd w:val="clear" w:color="000000" w:fill="C2D69B"/>
                  <w:vAlign w:val="bottom"/>
                  <w:hideMark/>
                </w:tcPr>
                <w:p w14:paraId="178D5732"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Superficie con Lava</w:t>
                  </w:r>
                </w:p>
              </w:tc>
              <w:tc>
                <w:tcPr>
                  <w:tcW w:w="1232" w:type="pct"/>
                  <w:vMerge w:val="restart"/>
                  <w:tcBorders>
                    <w:top w:val="nil"/>
                    <w:left w:val="single" w:sz="8" w:space="0" w:color="FFFFFF"/>
                    <w:bottom w:val="single" w:sz="8" w:space="0" w:color="FFFFFF"/>
                    <w:right w:val="single" w:sz="8" w:space="0" w:color="FFFFFF"/>
                  </w:tcBorders>
                  <w:shd w:val="clear" w:color="000000" w:fill="D6E3BC"/>
                  <w:noWrap/>
                  <w:vAlign w:val="center"/>
                  <w:hideMark/>
                </w:tcPr>
                <w:p w14:paraId="2456D722"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Lava Volcánica</w:t>
                  </w:r>
                </w:p>
              </w:tc>
              <w:tc>
                <w:tcPr>
                  <w:tcW w:w="581" w:type="pct"/>
                  <w:vMerge w:val="restart"/>
                  <w:tcBorders>
                    <w:top w:val="nil"/>
                    <w:left w:val="single" w:sz="8" w:space="0" w:color="FFFFFF"/>
                    <w:bottom w:val="single" w:sz="8" w:space="0" w:color="FFFFFF"/>
                    <w:right w:val="single" w:sz="8" w:space="0" w:color="FFFFFF"/>
                  </w:tcBorders>
                  <w:shd w:val="clear" w:color="000000" w:fill="EAF1DD"/>
                  <w:noWrap/>
                  <w:vAlign w:val="center"/>
                  <w:hideMark/>
                </w:tcPr>
                <w:p w14:paraId="3287EF25"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4,683</w:t>
                  </w:r>
                </w:p>
              </w:tc>
            </w:tr>
            <w:tr w:rsidR="00B441C4" w:rsidRPr="00720747" w14:paraId="591D8342" w14:textId="77777777" w:rsidTr="00687E1D">
              <w:trPr>
                <w:trHeight w:val="315"/>
              </w:trPr>
              <w:tc>
                <w:tcPr>
                  <w:tcW w:w="613" w:type="pct"/>
                  <w:vMerge/>
                  <w:tcBorders>
                    <w:top w:val="nil"/>
                    <w:left w:val="single" w:sz="8" w:space="0" w:color="FFFFFF"/>
                    <w:bottom w:val="single" w:sz="8" w:space="0" w:color="FFFFFF"/>
                    <w:right w:val="single" w:sz="12" w:space="0" w:color="FFFFFF"/>
                  </w:tcBorders>
                  <w:vAlign w:val="center"/>
                  <w:hideMark/>
                </w:tcPr>
                <w:p w14:paraId="04A73732"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tcBorders>
                    <w:top w:val="nil"/>
                    <w:left w:val="nil"/>
                    <w:bottom w:val="single" w:sz="8" w:space="0" w:color="FFFFFF"/>
                    <w:right w:val="single" w:sz="8" w:space="0" w:color="FFFFFF"/>
                  </w:tcBorders>
                  <w:shd w:val="clear" w:color="000000" w:fill="ABC674"/>
                  <w:noWrap/>
                  <w:vAlign w:val="bottom"/>
                  <w:hideMark/>
                </w:tcPr>
                <w:p w14:paraId="1DFD2440"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Calibri"/>
                      <w:color w:val="000000"/>
                      <w:sz w:val="16"/>
                      <w:szCs w:val="16"/>
                      <w:lang w:val="es-ES" w:eastAsia="es-ES"/>
                    </w:rPr>
                    <w:t> </w:t>
                  </w:r>
                </w:p>
              </w:tc>
              <w:tc>
                <w:tcPr>
                  <w:tcW w:w="1774" w:type="pct"/>
                  <w:tcBorders>
                    <w:top w:val="nil"/>
                    <w:left w:val="nil"/>
                    <w:bottom w:val="single" w:sz="8" w:space="0" w:color="FFFFFF"/>
                    <w:right w:val="single" w:sz="8" w:space="0" w:color="FFFFFF"/>
                  </w:tcBorders>
                  <w:shd w:val="clear" w:color="000000" w:fill="C2D69B"/>
                  <w:vAlign w:val="bottom"/>
                  <w:hideMark/>
                </w:tcPr>
                <w:p w14:paraId="13646FBD"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4,683 ha</w:t>
                  </w:r>
                </w:p>
              </w:tc>
              <w:tc>
                <w:tcPr>
                  <w:tcW w:w="1232" w:type="pct"/>
                  <w:vMerge/>
                  <w:tcBorders>
                    <w:top w:val="nil"/>
                    <w:left w:val="single" w:sz="8" w:space="0" w:color="FFFFFF"/>
                    <w:bottom w:val="single" w:sz="8" w:space="0" w:color="FFFFFF"/>
                    <w:right w:val="single" w:sz="8" w:space="0" w:color="FFFFFF"/>
                  </w:tcBorders>
                  <w:vAlign w:val="center"/>
                  <w:hideMark/>
                </w:tcPr>
                <w:p w14:paraId="0F1F59E3"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581" w:type="pct"/>
                  <w:vMerge/>
                  <w:tcBorders>
                    <w:top w:val="nil"/>
                    <w:left w:val="single" w:sz="8" w:space="0" w:color="FFFFFF"/>
                    <w:bottom w:val="single" w:sz="8" w:space="0" w:color="FFFFFF"/>
                    <w:right w:val="single" w:sz="8" w:space="0" w:color="FFFFFF"/>
                  </w:tcBorders>
                  <w:vAlign w:val="center"/>
                  <w:hideMark/>
                </w:tcPr>
                <w:p w14:paraId="40C82418"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p>
              </w:tc>
            </w:tr>
            <w:tr w:rsidR="00B441C4" w:rsidRPr="00720747" w14:paraId="1A0BCB96" w14:textId="77777777" w:rsidTr="00687E1D">
              <w:trPr>
                <w:trHeight w:val="390"/>
              </w:trPr>
              <w:tc>
                <w:tcPr>
                  <w:tcW w:w="613" w:type="pct"/>
                  <w:vMerge w:val="restart"/>
                  <w:tcBorders>
                    <w:top w:val="nil"/>
                    <w:left w:val="nil"/>
                    <w:right w:val="single" w:sz="12" w:space="0" w:color="FFFFFF"/>
                  </w:tcBorders>
                  <w:shd w:val="clear" w:color="auto" w:fill="808080" w:themeFill="background1" w:themeFillShade="80"/>
                  <w:vAlign w:val="center"/>
                </w:tcPr>
                <w:p w14:paraId="5C41734F" w14:textId="77777777" w:rsidR="00B441C4" w:rsidRPr="00720747" w:rsidRDefault="00B441C4" w:rsidP="005D0F18">
                  <w:pPr>
                    <w:spacing w:after="0" w:line="240" w:lineRule="auto"/>
                    <w:jc w:val="center"/>
                    <w:rPr>
                      <w:rFonts w:ascii="MyriadPro-Regular" w:eastAsia="Times New Roman" w:hAnsi="MyriadPro-Regular" w:cs="Arial"/>
                      <w:bCs/>
                      <w:color w:val="000000"/>
                      <w:sz w:val="16"/>
                      <w:szCs w:val="16"/>
                      <w:lang w:eastAsia="es-ES"/>
                    </w:rPr>
                  </w:pPr>
                  <w:r w:rsidRPr="00720747">
                    <w:rPr>
                      <w:rFonts w:ascii="MyriadPro-Regular" w:eastAsia="Times New Roman" w:hAnsi="MyriadPro-Regular" w:cs="Arial"/>
                      <w:bCs/>
                      <w:color w:val="000000"/>
                      <w:sz w:val="16"/>
                      <w:szCs w:val="16"/>
                      <w:lang w:eastAsia="es-ES"/>
                    </w:rPr>
                    <w:t>NO FORESTAL</w:t>
                  </w:r>
                </w:p>
                <w:p w14:paraId="55F192F6" w14:textId="77777777" w:rsidR="00B441C4" w:rsidRPr="00720747" w:rsidRDefault="00B441C4" w:rsidP="005D0F18">
                  <w:pPr>
                    <w:spacing w:after="0" w:line="240" w:lineRule="auto"/>
                    <w:jc w:val="center"/>
                    <w:rPr>
                      <w:rFonts w:ascii="MyriadPro-Regular" w:eastAsia="Times New Roman" w:hAnsi="MyriadPro-Regular" w:cs="Arial"/>
                      <w:bCs/>
                      <w:color w:val="000000"/>
                      <w:sz w:val="16"/>
                      <w:szCs w:val="16"/>
                      <w:lang w:val="es-ES" w:eastAsia="es-ES"/>
                    </w:rPr>
                  </w:pPr>
                  <w:r w:rsidRPr="00720747">
                    <w:rPr>
                      <w:rFonts w:ascii="MyriadPro-Regular" w:eastAsia="Times New Roman" w:hAnsi="MyriadPro-Regular" w:cs="Arial"/>
                      <w:bCs/>
                      <w:color w:val="000000"/>
                      <w:sz w:val="16"/>
                      <w:szCs w:val="16"/>
                      <w:lang w:eastAsia="es-ES"/>
                    </w:rPr>
                    <w:t>2,276,675 ha</w:t>
                  </w:r>
                </w:p>
              </w:tc>
              <w:tc>
                <w:tcPr>
                  <w:tcW w:w="800" w:type="pct"/>
                  <w:vMerge w:val="restart"/>
                  <w:tcBorders>
                    <w:top w:val="nil"/>
                    <w:left w:val="nil"/>
                    <w:right w:val="single" w:sz="8" w:space="0" w:color="FFFFFF"/>
                  </w:tcBorders>
                  <w:shd w:val="clear" w:color="auto" w:fill="A6A6A6" w:themeFill="background1" w:themeFillShade="A6"/>
                  <w:vAlign w:val="center"/>
                  <w:hideMark/>
                </w:tcPr>
                <w:p w14:paraId="2F9FCB79"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OTROS USOS</w:t>
                  </w:r>
                </w:p>
                <w:p w14:paraId="204DAE36"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191,531 ha</w:t>
                  </w:r>
                </w:p>
              </w:tc>
              <w:tc>
                <w:tcPr>
                  <w:tcW w:w="1774" w:type="pct"/>
                  <w:vMerge w:val="restart"/>
                  <w:tcBorders>
                    <w:top w:val="nil"/>
                    <w:left w:val="single" w:sz="8" w:space="0" w:color="FFFFFF"/>
                    <w:right w:val="single" w:sz="8" w:space="0" w:color="FFFFFF"/>
                  </w:tcBorders>
                  <w:shd w:val="clear" w:color="auto" w:fill="BFBFBF" w:themeFill="background1" w:themeFillShade="BF"/>
                  <w:vAlign w:val="center"/>
                  <w:hideMark/>
                </w:tcPr>
                <w:p w14:paraId="5F210B82"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Otros Recursos Naturales y Usos Humanos</w:t>
                  </w:r>
                </w:p>
                <w:p w14:paraId="11C3556B"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191,531 ha</w:t>
                  </w:r>
                </w:p>
              </w:tc>
              <w:tc>
                <w:tcPr>
                  <w:tcW w:w="1232" w:type="pct"/>
                  <w:tcBorders>
                    <w:top w:val="nil"/>
                    <w:left w:val="nil"/>
                    <w:bottom w:val="single" w:sz="8" w:space="0" w:color="FFFFFF"/>
                    <w:right w:val="single" w:sz="8" w:space="0" w:color="FFFFFF"/>
                  </w:tcBorders>
                  <w:shd w:val="clear" w:color="auto" w:fill="D9D9D9" w:themeFill="background1" w:themeFillShade="D9"/>
                  <w:noWrap/>
                  <w:vAlign w:val="center"/>
                  <w:hideMark/>
                </w:tcPr>
                <w:p w14:paraId="0DB09F86"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Banco de Material</w:t>
                  </w:r>
                </w:p>
              </w:tc>
              <w:tc>
                <w:tcPr>
                  <w:tcW w:w="581"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4BE48D41"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1,815</w:t>
                  </w:r>
                </w:p>
              </w:tc>
            </w:tr>
            <w:tr w:rsidR="00B441C4" w:rsidRPr="00720747" w14:paraId="4C5D9946" w14:textId="77777777" w:rsidTr="00687E1D">
              <w:trPr>
                <w:trHeight w:val="300"/>
              </w:trPr>
              <w:tc>
                <w:tcPr>
                  <w:tcW w:w="613" w:type="pct"/>
                  <w:vMerge/>
                  <w:tcBorders>
                    <w:left w:val="nil"/>
                    <w:right w:val="single" w:sz="12" w:space="0" w:color="FFFFFF"/>
                  </w:tcBorders>
                  <w:shd w:val="clear" w:color="auto" w:fill="808080" w:themeFill="background1" w:themeFillShade="80"/>
                  <w:vAlign w:val="center"/>
                  <w:hideMark/>
                </w:tcPr>
                <w:p w14:paraId="518DEC38"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right w:val="single" w:sz="8" w:space="0" w:color="FFFFFF"/>
                  </w:tcBorders>
                  <w:shd w:val="clear" w:color="auto" w:fill="A6A6A6" w:themeFill="background1" w:themeFillShade="A6"/>
                  <w:vAlign w:val="center"/>
                  <w:hideMark/>
                </w:tcPr>
                <w:p w14:paraId="4CABF90F"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vMerge/>
                  <w:tcBorders>
                    <w:left w:val="single" w:sz="8" w:space="0" w:color="FFFFFF"/>
                    <w:right w:val="single" w:sz="8" w:space="0" w:color="FFFFFF"/>
                  </w:tcBorders>
                  <w:shd w:val="clear" w:color="auto" w:fill="BFBFBF" w:themeFill="background1" w:themeFillShade="BF"/>
                  <w:vAlign w:val="center"/>
                  <w:hideMark/>
                </w:tcPr>
                <w:p w14:paraId="7C7E90AF"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232" w:type="pct"/>
                  <w:tcBorders>
                    <w:top w:val="nil"/>
                    <w:left w:val="nil"/>
                    <w:bottom w:val="single" w:sz="8" w:space="0" w:color="FFFFFF"/>
                    <w:right w:val="single" w:sz="8" w:space="0" w:color="FFFFFF"/>
                  </w:tcBorders>
                  <w:shd w:val="clear" w:color="auto" w:fill="D9D9D9" w:themeFill="background1" w:themeFillShade="D9"/>
                  <w:noWrap/>
                  <w:vAlign w:val="center"/>
                  <w:hideMark/>
                </w:tcPr>
                <w:p w14:paraId="1E817A6B"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Cuerpos de Agua</w:t>
                  </w:r>
                </w:p>
              </w:tc>
              <w:tc>
                <w:tcPr>
                  <w:tcW w:w="581"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684223A0"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91,352</w:t>
                  </w:r>
                </w:p>
              </w:tc>
            </w:tr>
            <w:tr w:rsidR="00B441C4" w:rsidRPr="00720747" w14:paraId="7CB2679B" w14:textId="77777777" w:rsidTr="00687E1D">
              <w:trPr>
                <w:trHeight w:val="330"/>
              </w:trPr>
              <w:tc>
                <w:tcPr>
                  <w:tcW w:w="613" w:type="pct"/>
                  <w:vMerge/>
                  <w:tcBorders>
                    <w:left w:val="single" w:sz="8" w:space="0" w:color="FFFFFF"/>
                    <w:right w:val="single" w:sz="12" w:space="0" w:color="FFFFFF"/>
                  </w:tcBorders>
                  <w:shd w:val="clear" w:color="auto" w:fill="808080" w:themeFill="background1" w:themeFillShade="80"/>
                  <w:vAlign w:val="center"/>
                  <w:hideMark/>
                </w:tcPr>
                <w:p w14:paraId="3DCDFEB4"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bottom w:val="single" w:sz="4" w:space="0" w:color="FFFFFF" w:themeColor="background1"/>
                    <w:right w:val="single" w:sz="8" w:space="0" w:color="FFFFFF"/>
                  </w:tcBorders>
                  <w:shd w:val="clear" w:color="auto" w:fill="A6A6A6" w:themeFill="background1" w:themeFillShade="A6"/>
                  <w:vAlign w:val="center"/>
                  <w:hideMark/>
                </w:tcPr>
                <w:p w14:paraId="22B104ED"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1774" w:type="pct"/>
                  <w:vMerge/>
                  <w:tcBorders>
                    <w:left w:val="single" w:sz="8" w:space="0" w:color="FFFFFF"/>
                    <w:bottom w:val="single" w:sz="4" w:space="0" w:color="FFFFFF" w:themeColor="background1"/>
                    <w:right w:val="single" w:sz="8" w:space="0" w:color="FFFFFF"/>
                  </w:tcBorders>
                  <w:shd w:val="clear" w:color="auto" w:fill="BFBFBF" w:themeFill="background1" w:themeFillShade="BF"/>
                  <w:hideMark/>
                </w:tcPr>
                <w:p w14:paraId="7C16C126"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232" w:type="pct"/>
                  <w:tcBorders>
                    <w:top w:val="nil"/>
                    <w:left w:val="nil"/>
                    <w:bottom w:val="single" w:sz="8" w:space="0" w:color="FFFFFF"/>
                    <w:right w:val="single" w:sz="8" w:space="0" w:color="FFFFFF"/>
                  </w:tcBorders>
                  <w:shd w:val="clear" w:color="auto" w:fill="D9D9D9" w:themeFill="background1" w:themeFillShade="D9"/>
                  <w:noWrap/>
                  <w:vAlign w:val="center"/>
                  <w:hideMark/>
                </w:tcPr>
                <w:p w14:paraId="0FFCD2D5"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Asentamiento Humano</w:t>
                  </w:r>
                </w:p>
              </w:tc>
              <w:tc>
                <w:tcPr>
                  <w:tcW w:w="581"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7130EAF3"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98,364</w:t>
                  </w:r>
                </w:p>
              </w:tc>
            </w:tr>
            <w:tr w:rsidR="00B441C4" w:rsidRPr="00720747" w14:paraId="632C66CA" w14:textId="77777777" w:rsidTr="00687E1D">
              <w:trPr>
                <w:trHeight w:val="345"/>
              </w:trPr>
              <w:tc>
                <w:tcPr>
                  <w:tcW w:w="613" w:type="pct"/>
                  <w:vMerge/>
                  <w:tcBorders>
                    <w:left w:val="single" w:sz="8" w:space="0" w:color="FFFFFF"/>
                    <w:right w:val="single" w:sz="12" w:space="0" w:color="FFFFFF"/>
                  </w:tcBorders>
                  <w:shd w:val="clear" w:color="auto" w:fill="808080" w:themeFill="background1" w:themeFillShade="80"/>
                  <w:vAlign w:val="bottom"/>
                  <w:hideMark/>
                </w:tcPr>
                <w:p w14:paraId="633DA4E9"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val="restart"/>
                  <w:tcBorders>
                    <w:top w:val="single" w:sz="4" w:space="0" w:color="FFFFFF" w:themeColor="background1"/>
                    <w:left w:val="single" w:sz="12" w:space="0" w:color="FFFFFF"/>
                    <w:right w:val="single" w:sz="8" w:space="0" w:color="FFFFFF"/>
                  </w:tcBorders>
                  <w:shd w:val="clear" w:color="auto" w:fill="A6A6A6" w:themeFill="background1" w:themeFillShade="A6"/>
                  <w:noWrap/>
                  <w:vAlign w:val="bottom"/>
                  <w:hideMark/>
                </w:tcPr>
                <w:p w14:paraId="4EEC655F"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AGRICULTURA</w:t>
                  </w:r>
                </w:p>
                <w:p w14:paraId="5DF9C879"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1,567,077 ha</w:t>
                  </w:r>
                </w:p>
              </w:tc>
              <w:tc>
                <w:tcPr>
                  <w:tcW w:w="1774" w:type="pct"/>
                  <w:vMerge w:val="restart"/>
                  <w:tcBorders>
                    <w:top w:val="single" w:sz="4" w:space="0" w:color="FFFFFF" w:themeColor="background1"/>
                    <w:left w:val="single" w:sz="8" w:space="0" w:color="FFFFFF"/>
                    <w:right w:val="single" w:sz="8" w:space="0" w:color="FFFFFF"/>
                  </w:tcBorders>
                  <w:shd w:val="clear" w:color="auto" w:fill="BFBFBF" w:themeFill="background1" w:themeFillShade="BF"/>
                  <w:noWrap/>
                  <w:vAlign w:val="center"/>
                  <w:hideMark/>
                </w:tcPr>
                <w:p w14:paraId="528CB76D"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Agricultura</w:t>
                  </w:r>
                </w:p>
                <w:p w14:paraId="7B65B8E5"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1,567,077 ha</w:t>
                  </w:r>
                </w:p>
              </w:tc>
              <w:tc>
                <w:tcPr>
                  <w:tcW w:w="1232" w:type="pct"/>
                  <w:tcBorders>
                    <w:top w:val="nil"/>
                    <w:left w:val="nil"/>
                    <w:bottom w:val="single" w:sz="8" w:space="0" w:color="FFFFFF"/>
                    <w:right w:val="single" w:sz="8" w:space="0" w:color="FFFFFF"/>
                  </w:tcBorders>
                  <w:shd w:val="clear" w:color="auto" w:fill="D9D9D9" w:themeFill="background1" w:themeFillShade="D9"/>
                  <w:noWrap/>
                  <w:vAlign w:val="center"/>
                  <w:hideMark/>
                </w:tcPr>
                <w:p w14:paraId="08732367"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Agricultura de Riego</w:t>
                  </w:r>
                </w:p>
              </w:tc>
              <w:tc>
                <w:tcPr>
                  <w:tcW w:w="581"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4421E3C9"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533,295</w:t>
                  </w:r>
                </w:p>
              </w:tc>
            </w:tr>
            <w:tr w:rsidR="00B441C4" w:rsidRPr="00720747" w14:paraId="368FA1C8" w14:textId="77777777" w:rsidTr="00687E1D">
              <w:trPr>
                <w:trHeight w:val="315"/>
              </w:trPr>
              <w:tc>
                <w:tcPr>
                  <w:tcW w:w="613" w:type="pct"/>
                  <w:vMerge/>
                  <w:tcBorders>
                    <w:left w:val="single" w:sz="8" w:space="0" w:color="FFFFFF"/>
                    <w:right w:val="single" w:sz="12" w:space="0" w:color="FFFFFF"/>
                  </w:tcBorders>
                  <w:shd w:val="clear" w:color="auto" w:fill="808080" w:themeFill="background1" w:themeFillShade="80"/>
                  <w:vAlign w:val="bottom"/>
                  <w:hideMark/>
                </w:tcPr>
                <w:p w14:paraId="39704C3E"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800" w:type="pct"/>
                  <w:vMerge/>
                  <w:tcBorders>
                    <w:left w:val="single" w:sz="12" w:space="0" w:color="FFFFFF"/>
                    <w:bottom w:val="nil"/>
                    <w:right w:val="single" w:sz="8" w:space="0" w:color="FFFFFF"/>
                  </w:tcBorders>
                  <w:shd w:val="clear" w:color="auto" w:fill="A6A6A6" w:themeFill="background1" w:themeFillShade="A6"/>
                  <w:noWrap/>
                  <w:vAlign w:val="bottom"/>
                  <w:hideMark/>
                </w:tcPr>
                <w:p w14:paraId="2429BFD7"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774" w:type="pct"/>
                  <w:vMerge/>
                  <w:tcBorders>
                    <w:left w:val="single" w:sz="8" w:space="0" w:color="FFFFFF"/>
                    <w:right w:val="single" w:sz="8" w:space="0" w:color="FFFFFF"/>
                  </w:tcBorders>
                  <w:shd w:val="clear" w:color="auto" w:fill="BFBFBF" w:themeFill="background1" w:themeFillShade="BF"/>
                  <w:vAlign w:val="center"/>
                  <w:hideMark/>
                </w:tcPr>
                <w:p w14:paraId="70B1625C"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232" w:type="pct"/>
                  <w:tcBorders>
                    <w:top w:val="nil"/>
                    <w:left w:val="nil"/>
                    <w:bottom w:val="single" w:sz="8" w:space="0" w:color="FFFFFF"/>
                    <w:right w:val="single" w:sz="8" w:space="0" w:color="FFFFFF"/>
                  </w:tcBorders>
                  <w:shd w:val="clear" w:color="auto" w:fill="D9D9D9" w:themeFill="background1" w:themeFillShade="D9"/>
                  <w:noWrap/>
                  <w:vAlign w:val="center"/>
                  <w:hideMark/>
                </w:tcPr>
                <w:p w14:paraId="601759A8"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Agricultura de Temporal</w:t>
                  </w:r>
                </w:p>
              </w:tc>
              <w:tc>
                <w:tcPr>
                  <w:tcW w:w="581"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7AD77425"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834,147</w:t>
                  </w:r>
                </w:p>
              </w:tc>
            </w:tr>
            <w:tr w:rsidR="00B441C4" w:rsidRPr="00720747" w14:paraId="1A17E8AD" w14:textId="77777777" w:rsidTr="00687E1D">
              <w:trPr>
                <w:trHeight w:val="330"/>
              </w:trPr>
              <w:tc>
                <w:tcPr>
                  <w:tcW w:w="613" w:type="pct"/>
                  <w:vMerge/>
                  <w:tcBorders>
                    <w:left w:val="single" w:sz="8" w:space="0" w:color="FFFFFF"/>
                    <w:right w:val="single" w:sz="12" w:space="0" w:color="FFFFFF"/>
                  </w:tcBorders>
                  <w:shd w:val="clear" w:color="auto" w:fill="808080" w:themeFill="background1" w:themeFillShade="80"/>
                  <w:vAlign w:val="bottom"/>
                  <w:hideMark/>
                </w:tcPr>
                <w:p w14:paraId="3F3E56B0"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p>
              </w:tc>
              <w:tc>
                <w:tcPr>
                  <w:tcW w:w="800" w:type="pct"/>
                  <w:tcBorders>
                    <w:top w:val="nil"/>
                    <w:left w:val="single" w:sz="12" w:space="0" w:color="FFFFFF"/>
                    <w:bottom w:val="single" w:sz="8" w:space="0" w:color="FFFFFF"/>
                    <w:right w:val="single" w:sz="8" w:space="0" w:color="FFFFFF"/>
                  </w:tcBorders>
                  <w:shd w:val="clear" w:color="auto" w:fill="A6A6A6" w:themeFill="background1" w:themeFillShade="A6"/>
                  <w:noWrap/>
                  <w:vAlign w:val="bottom"/>
                  <w:hideMark/>
                </w:tcPr>
                <w:p w14:paraId="55908064"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Calibri"/>
                      <w:color w:val="000000"/>
                      <w:sz w:val="16"/>
                      <w:szCs w:val="16"/>
                      <w:lang w:val="es-ES" w:eastAsia="es-ES"/>
                    </w:rPr>
                    <w:t> </w:t>
                  </w:r>
                </w:p>
              </w:tc>
              <w:tc>
                <w:tcPr>
                  <w:tcW w:w="1774" w:type="pct"/>
                  <w:vMerge/>
                  <w:tcBorders>
                    <w:left w:val="single" w:sz="8" w:space="0" w:color="FFFFFF"/>
                    <w:bottom w:val="nil"/>
                    <w:right w:val="single" w:sz="8" w:space="0" w:color="FFFFFF"/>
                  </w:tcBorders>
                  <w:shd w:val="clear" w:color="auto" w:fill="BFBFBF" w:themeFill="background1" w:themeFillShade="BF"/>
                  <w:noWrap/>
                  <w:hideMark/>
                </w:tcPr>
                <w:p w14:paraId="239A7018"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p>
              </w:tc>
              <w:tc>
                <w:tcPr>
                  <w:tcW w:w="1232" w:type="pct"/>
                  <w:tcBorders>
                    <w:top w:val="nil"/>
                    <w:left w:val="nil"/>
                    <w:bottom w:val="single" w:sz="8" w:space="0" w:color="FFFFFF"/>
                    <w:right w:val="single" w:sz="8" w:space="0" w:color="FFFFFF"/>
                  </w:tcBorders>
                  <w:shd w:val="clear" w:color="auto" w:fill="D9D9D9" w:themeFill="background1" w:themeFillShade="D9"/>
                  <w:noWrap/>
                  <w:vAlign w:val="center"/>
                  <w:hideMark/>
                </w:tcPr>
                <w:p w14:paraId="76CB148B"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Huertas</w:t>
                  </w:r>
                </w:p>
              </w:tc>
              <w:tc>
                <w:tcPr>
                  <w:tcW w:w="581" w:type="pct"/>
                  <w:tcBorders>
                    <w:top w:val="nil"/>
                    <w:left w:val="nil"/>
                    <w:bottom w:val="single" w:sz="8" w:space="0" w:color="FFFFFF"/>
                    <w:right w:val="single" w:sz="8" w:space="0" w:color="FFFFFF"/>
                  </w:tcBorders>
                  <w:shd w:val="clear" w:color="auto" w:fill="F2F2F2" w:themeFill="background1" w:themeFillShade="F2"/>
                  <w:noWrap/>
                  <w:vAlign w:val="center"/>
                  <w:hideMark/>
                </w:tcPr>
                <w:p w14:paraId="67E011CE"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199,635</w:t>
                  </w:r>
                </w:p>
              </w:tc>
            </w:tr>
            <w:tr w:rsidR="00B441C4" w:rsidRPr="00720747" w14:paraId="1ED16658" w14:textId="77777777" w:rsidTr="00687E1D">
              <w:trPr>
                <w:trHeight w:val="650"/>
              </w:trPr>
              <w:tc>
                <w:tcPr>
                  <w:tcW w:w="613" w:type="pct"/>
                  <w:vMerge/>
                  <w:tcBorders>
                    <w:left w:val="single" w:sz="8" w:space="0" w:color="FFFFFF"/>
                    <w:bottom w:val="nil"/>
                    <w:right w:val="single" w:sz="12" w:space="0" w:color="FFFFFF"/>
                  </w:tcBorders>
                  <w:shd w:val="clear" w:color="auto" w:fill="808080" w:themeFill="background1" w:themeFillShade="80"/>
                  <w:vAlign w:val="bottom"/>
                  <w:hideMark/>
                </w:tcPr>
                <w:p w14:paraId="2245EA59" w14:textId="77777777" w:rsidR="00B441C4" w:rsidRPr="00720747" w:rsidRDefault="00B441C4" w:rsidP="005D0F18">
                  <w:pPr>
                    <w:spacing w:after="0" w:line="240" w:lineRule="auto"/>
                    <w:jc w:val="center"/>
                    <w:rPr>
                      <w:rFonts w:ascii="MyriadPro-Regular" w:eastAsia="Times New Roman" w:hAnsi="MyriadPro-Regular" w:cs="Arial"/>
                      <w:bCs/>
                      <w:color w:val="000000"/>
                      <w:sz w:val="16"/>
                      <w:szCs w:val="16"/>
                      <w:lang w:val="es-ES" w:eastAsia="es-ES"/>
                    </w:rPr>
                  </w:pPr>
                </w:p>
              </w:tc>
              <w:tc>
                <w:tcPr>
                  <w:tcW w:w="800" w:type="pct"/>
                  <w:tcBorders>
                    <w:top w:val="nil"/>
                    <w:left w:val="single" w:sz="12" w:space="0" w:color="FFFFFF"/>
                    <w:bottom w:val="nil"/>
                    <w:right w:val="single" w:sz="8" w:space="0" w:color="FFFFFF"/>
                  </w:tcBorders>
                  <w:shd w:val="clear" w:color="auto" w:fill="A6A6A6" w:themeFill="background1" w:themeFillShade="A6"/>
                  <w:noWrap/>
                  <w:vAlign w:val="center"/>
                  <w:hideMark/>
                </w:tcPr>
                <w:p w14:paraId="6F3C2654"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GANADERÍA</w:t>
                  </w:r>
                </w:p>
                <w:p w14:paraId="71976816"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518,067 ha</w:t>
                  </w:r>
                </w:p>
              </w:tc>
              <w:tc>
                <w:tcPr>
                  <w:tcW w:w="1774" w:type="pct"/>
                  <w:tcBorders>
                    <w:top w:val="single" w:sz="8" w:space="0" w:color="FFFFFF"/>
                    <w:left w:val="nil"/>
                    <w:bottom w:val="nil"/>
                    <w:right w:val="single" w:sz="8" w:space="0" w:color="FFFFFF"/>
                  </w:tcBorders>
                  <w:shd w:val="clear" w:color="auto" w:fill="BFBFBF" w:themeFill="background1" w:themeFillShade="BF"/>
                  <w:noWrap/>
                  <w:vAlign w:val="center"/>
                  <w:hideMark/>
                </w:tcPr>
                <w:p w14:paraId="588112B2"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Ganadería</w:t>
                  </w:r>
                </w:p>
                <w:p w14:paraId="6AB7167F" w14:textId="77777777" w:rsidR="00B441C4" w:rsidRPr="00720747" w:rsidRDefault="00B441C4" w:rsidP="005D0F18">
                  <w:pPr>
                    <w:spacing w:after="0" w:line="240" w:lineRule="auto"/>
                    <w:jc w:val="center"/>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518,067ha</w:t>
                  </w:r>
                </w:p>
              </w:tc>
              <w:tc>
                <w:tcPr>
                  <w:tcW w:w="1232" w:type="pct"/>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14:paraId="0CE6EC31" w14:textId="77777777" w:rsidR="00B441C4" w:rsidRPr="00720747" w:rsidRDefault="00B441C4" w:rsidP="005D0F18">
                  <w:pPr>
                    <w:spacing w:after="0" w:line="240" w:lineRule="auto"/>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Pastizal Inducido</w:t>
                  </w:r>
                </w:p>
              </w:tc>
              <w:tc>
                <w:tcPr>
                  <w:tcW w:w="581" w:type="pct"/>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14:paraId="11FFD66A" w14:textId="77777777" w:rsidR="00B441C4" w:rsidRPr="00720747" w:rsidRDefault="00B441C4" w:rsidP="005D0F18">
                  <w:pPr>
                    <w:spacing w:after="0" w:line="240" w:lineRule="auto"/>
                    <w:jc w:val="right"/>
                    <w:rPr>
                      <w:rFonts w:ascii="MyriadPro-Regular" w:eastAsia="Times New Roman" w:hAnsi="MyriadPro-Regular" w:cs="Arial"/>
                      <w:color w:val="000000"/>
                      <w:sz w:val="16"/>
                      <w:szCs w:val="16"/>
                      <w:lang w:val="es-ES" w:eastAsia="es-ES"/>
                    </w:rPr>
                  </w:pPr>
                  <w:r w:rsidRPr="00720747">
                    <w:rPr>
                      <w:rFonts w:ascii="MyriadPro-Regular" w:eastAsia="Times New Roman" w:hAnsi="MyriadPro-Regular" w:cs="Arial"/>
                      <w:color w:val="000000"/>
                      <w:sz w:val="16"/>
                      <w:szCs w:val="16"/>
                      <w:lang w:eastAsia="es-ES"/>
                    </w:rPr>
                    <w:t>518,067</w:t>
                  </w:r>
                </w:p>
              </w:tc>
            </w:tr>
            <w:tr w:rsidR="00B441C4" w:rsidRPr="00720747" w14:paraId="79F9CD60" w14:textId="77777777" w:rsidTr="00687E1D">
              <w:trPr>
                <w:trHeight w:val="315"/>
              </w:trPr>
              <w:tc>
                <w:tcPr>
                  <w:tcW w:w="1413" w:type="pct"/>
                  <w:gridSpan w:val="2"/>
                  <w:tcBorders>
                    <w:top w:val="single" w:sz="8" w:space="0" w:color="FFFFFF"/>
                    <w:left w:val="single" w:sz="8" w:space="0" w:color="FFFFFF"/>
                    <w:bottom w:val="single" w:sz="8" w:space="0" w:color="FFFFFF"/>
                  </w:tcBorders>
                  <w:shd w:val="clear" w:color="000000" w:fill="4F6228"/>
                  <w:vAlign w:val="center"/>
                  <w:hideMark/>
                </w:tcPr>
                <w:p w14:paraId="624FFC88" w14:textId="77777777" w:rsidR="00B441C4" w:rsidRPr="00720747" w:rsidRDefault="00B441C4" w:rsidP="005D0F18">
                  <w:pPr>
                    <w:spacing w:after="0" w:line="240" w:lineRule="auto"/>
                    <w:jc w:val="right"/>
                    <w:rPr>
                      <w:rFonts w:ascii="MyriadPro-Regular" w:eastAsia="Times New Roman" w:hAnsi="MyriadPro-Regular" w:cs="Arial"/>
                      <w:bCs/>
                      <w:color w:val="000000"/>
                      <w:sz w:val="16"/>
                      <w:szCs w:val="16"/>
                      <w:lang w:val="es-ES" w:eastAsia="es-ES"/>
                    </w:rPr>
                  </w:pPr>
                </w:p>
              </w:tc>
              <w:tc>
                <w:tcPr>
                  <w:tcW w:w="1774" w:type="pct"/>
                  <w:tcBorders>
                    <w:top w:val="single" w:sz="8" w:space="0" w:color="FFFFFF"/>
                    <w:left w:val="nil"/>
                    <w:bottom w:val="single" w:sz="8" w:space="0" w:color="FFFFFF"/>
                    <w:right w:val="nil"/>
                  </w:tcBorders>
                  <w:shd w:val="clear" w:color="000000" w:fill="4F6228"/>
                  <w:noWrap/>
                  <w:vAlign w:val="center"/>
                  <w:hideMark/>
                </w:tcPr>
                <w:p w14:paraId="3197E0F2" w14:textId="77777777" w:rsidR="00B441C4" w:rsidRPr="00720747" w:rsidRDefault="00B441C4" w:rsidP="005D0F18">
                  <w:pPr>
                    <w:spacing w:after="0" w:line="240" w:lineRule="auto"/>
                    <w:jc w:val="right"/>
                    <w:rPr>
                      <w:rFonts w:ascii="MyriadPro-Regular" w:eastAsia="Times New Roman" w:hAnsi="MyriadPro-Regular" w:cs="Arial"/>
                      <w:bCs/>
                      <w:color w:val="000000"/>
                      <w:sz w:val="16"/>
                      <w:szCs w:val="16"/>
                      <w:lang w:val="es-ES" w:eastAsia="es-ES"/>
                    </w:rPr>
                  </w:pPr>
                  <w:r w:rsidRPr="00720747">
                    <w:rPr>
                      <w:rFonts w:ascii="MyriadPro-Regular" w:eastAsia="Times New Roman" w:hAnsi="MyriadPro-Regular" w:cs="Arial"/>
                      <w:bCs/>
                      <w:color w:val="000000"/>
                      <w:sz w:val="16"/>
                      <w:szCs w:val="16"/>
                      <w:lang w:eastAsia="es-ES"/>
                    </w:rPr>
                    <w:t xml:space="preserve">TOTAL </w:t>
                  </w:r>
                </w:p>
              </w:tc>
              <w:tc>
                <w:tcPr>
                  <w:tcW w:w="1232" w:type="pct"/>
                  <w:tcBorders>
                    <w:top w:val="nil"/>
                    <w:left w:val="nil"/>
                    <w:bottom w:val="single" w:sz="8" w:space="0" w:color="FFFFFF"/>
                    <w:right w:val="nil"/>
                  </w:tcBorders>
                  <w:shd w:val="clear" w:color="000000" w:fill="4F6228"/>
                  <w:noWrap/>
                  <w:vAlign w:val="center"/>
                  <w:hideMark/>
                </w:tcPr>
                <w:p w14:paraId="2A9D8134" w14:textId="77777777" w:rsidR="00B441C4" w:rsidRPr="00720747" w:rsidRDefault="00B441C4" w:rsidP="005D0F18">
                  <w:pPr>
                    <w:spacing w:after="0" w:line="240" w:lineRule="auto"/>
                    <w:rPr>
                      <w:rFonts w:ascii="MyriadPro-Regular" w:eastAsia="Times New Roman" w:hAnsi="MyriadPro-Regular" w:cs="Arial"/>
                      <w:bCs/>
                      <w:color w:val="000000"/>
                      <w:sz w:val="16"/>
                      <w:szCs w:val="16"/>
                      <w:lang w:val="es-ES" w:eastAsia="es-ES"/>
                    </w:rPr>
                  </w:pPr>
                </w:p>
              </w:tc>
              <w:tc>
                <w:tcPr>
                  <w:tcW w:w="581" w:type="pct"/>
                  <w:tcBorders>
                    <w:top w:val="nil"/>
                    <w:left w:val="nil"/>
                    <w:bottom w:val="single" w:sz="8" w:space="0" w:color="FFFFFF"/>
                    <w:right w:val="single" w:sz="8" w:space="0" w:color="FFFFFF"/>
                  </w:tcBorders>
                  <w:shd w:val="clear" w:color="000000" w:fill="4F6228"/>
                  <w:noWrap/>
                  <w:vAlign w:val="center"/>
                  <w:hideMark/>
                </w:tcPr>
                <w:p w14:paraId="777260D5" w14:textId="77777777" w:rsidR="00B441C4" w:rsidRPr="00720747" w:rsidRDefault="00B441C4" w:rsidP="005D0F18">
                  <w:pPr>
                    <w:spacing w:after="0" w:line="240" w:lineRule="auto"/>
                    <w:jc w:val="right"/>
                    <w:rPr>
                      <w:rFonts w:ascii="MyriadPro-Regular" w:eastAsia="Times New Roman" w:hAnsi="MyriadPro-Regular" w:cs="Arial"/>
                      <w:bCs/>
                      <w:color w:val="000000"/>
                      <w:sz w:val="16"/>
                      <w:szCs w:val="16"/>
                      <w:lang w:val="es-ES" w:eastAsia="es-ES"/>
                    </w:rPr>
                  </w:pPr>
                  <w:r w:rsidRPr="00720747">
                    <w:rPr>
                      <w:rFonts w:ascii="MyriadPro-Regular" w:eastAsia="Times New Roman" w:hAnsi="MyriadPro-Regular" w:cs="Arial"/>
                      <w:bCs/>
                      <w:color w:val="000000"/>
                      <w:sz w:val="16"/>
                      <w:szCs w:val="16"/>
                      <w:lang w:val="es-ES" w:eastAsia="es-ES"/>
                    </w:rPr>
                    <w:t>5,873,103</w:t>
                  </w:r>
                </w:p>
              </w:tc>
            </w:tr>
          </w:tbl>
          <w:p w14:paraId="7F48E1C5" w14:textId="77777777" w:rsidR="00B441C4" w:rsidRPr="00487E5A" w:rsidRDefault="00B441C4" w:rsidP="00687E1D">
            <w:pPr>
              <w:widowControl w:val="0"/>
              <w:autoSpaceDE w:val="0"/>
              <w:autoSpaceDN w:val="0"/>
              <w:adjustRightInd w:val="0"/>
              <w:spacing w:after="0" w:line="240" w:lineRule="auto"/>
              <w:rPr>
                <w:rFonts w:ascii="GalanoGrotesque-Medium" w:eastAsia="Times New Roman" w:hAnsi="GalanoGrotesque-Medium" w:cs="Arial"/>
                <w:sz w:val="24"/>
                <w:szCs w:val="24"/>
                <w:lang w:val="es-ES" w:eastAsia="es-ES"/>
              </w:rPr>
            </w:pPr>
          </w:p>
        </w:tc>
      </w:tr>
    </w:tbl>
    <w:p w14:paraId="645A6C36" w14:textId="77777777" w:rsidR="00B441C4" w:rsidRDefault="00B441C4" w:rsidP="005D0F18">
      <w:pPr>
        <w:rPr>
          <w:rFonts w:ascii="MyriadPro-Regular" w:eastAsia="Calibri" w:hAnsi="MyriadPro-Regular" w:cs="Arial"/>
          <w:sz w:val="16"/>
          <w:szCs w:val="16"/>
          <w:lang w:val="es-ES" w:eastAsia="es-ES"/>
        </w:rPr>
      </w:pPr>
      <w:r w:rsidRPr="00B441C4">
        <w:rPr>
          <w:rFonts w:ascii="MyriadPro-Regular" w:eastAsia="Times New Roman" w:hAnsi="MyriadPro-Regular" w:cs="Arial"/>
          <w:sz w:val="16"/>
          <w:szCs w:val="16"/>
          <w:lang w:val="es-ES" w:eastAsia="es-ES"/>
        </w:rPr>
        <w:lastRenderedPageBreak/>
        <w:t xml:space="preserve">Fuente: </w:t>
      </w:r>
      <w:r w:rsidRPr="00B441C4">
        <w:rPr>
          <w:rFonts w:ascii="MyriadPro-Regular" w:eastAsia="Calibri" w:hAnsi="MyriadPro-Regular" w:cs="Arial"/>
          <w:sz w:val="16"/>
          <w:szCs w:val="16"/>
          <w:lang w:val="es-ES" w:eastAsia="es-ES"/>
        </w:rPr>
        <w:t>COFOM, Inventario estatal Forestal y de Suelos 2014.</w:t>
      </w:r>
    </w:p>
    <w:p w14:paraId="7BF64129" w14:textId="77777777" w:rsidR="005D0F18" w:rsidRDefault="005D0F18" w:rsidP="005D0F18">
      <w:pPr>
        <w:rPr>
          <w:rFonts w:ascii="MyriadPro-Regular" w:eastAsia="Calibri" w:hAnsi="MyriadPro-Regular" w:cs="Arial"/>
          <w:sz w:val="16"/>
          <w:szCs w:val="16"/>
          <w:lang w:val="es-ES" w:eastAsia="es-ES"/>
        </w:rPr>
      </w:pPr>
    </w:p>
    <w:p w14:paraId="312EB12A" w14:textId="77777777" w:rsidR="00720747" w:rsidRPr="005D0F18" w:rsidRDefault="00720747" w:rsidP="00720747">
      <w:pPr>
        <w:spacing w:after="0" w:line="240" w:lineRule="exact"/>
        <w:jc w:val="center"/>
        <w:rPr>
          <w:rFonts w:ascii="GalanoGrotesque-Medium" w:eastAsia="Times New Roman" w:hAnsi="GalanoGrotesque-Medium" w:cs="Arial"/>
          <w:b/>
          <w:sz w:val="16"/>
          <w:szCs w:val="16"/>
          <w:lang w:val="es-ES" w:eastAsia="es-ES"/>
        </w:rPr>
      </w:pPr>
      <w:r w:rsidRPr="005D0F18">
        <w:rPr>
          <w:rFonts w:ascii="GalanoGrotesque-Medium" w:eastAsia="Times New Roman" w:hAnsi="GalanoGrotesque-Medium" w:cs="Arial"/>
          <w:b/>
          <w:sz w:val="16"/>
          <w:szCs w:val="16"/>
          <w:lang w:val="es-ES" w:eastAsia="es-ES"/>
        </w:rPr>
        <w:t>Mapa 7.1</w:t>
      </w:r>
    </w:p>
    <w:p w14:paraId="674F680E" w14:textId="77777777" w:rsidR="00720747" w:rsidRPr="005D0F18" w:rsidRDefault="00720747" w:rsidP="00720747">
      <w:pPr>
        <w:spacing w:after="0" w:line="240" w:lineRule="exact"/>
        <w:jc w:val="center"/>
        <w:rPr>
          <w:rFonts w:ascii="GalanoGrotesque-Medium" w:eastAsia="Times New Roman" w:hAnsi="GalanoGrotesque-Medium" w:cs="Arial"/>
          <w:sz w:val="16"/>
          <w:szCs w:val="16"/>
          <w:lang w:val="es-ES" w:eastAsia="es-ES"/>
        </w:rPr>
      </w:pPr>
      <w:r w:rsidRPr="005D0F18">
        <w:rPr>
          <w:rFonts w:ascii="GalanoGrotesque-Medium" w:eastAsia="Times New Roman" w:hAnsi="GalanoGrotesque-Medium" w:cs="Arial"/>
          <w:sz w:val="16"/>
          <w:szCs w:val="16"/>
          <w:lang w:val="es-ES" w:eastAsia="es-ES"/>
        </w:rPr>
        <w:t>Cambios de Uso de Suelo</w:t>
      </w:r>
    </w:p>
    <w:p w14:paraId="6C57CC15" w14:textId="77777777" w:rsidR="00720747" w:rsidRDefault="00720747" w:rsidP="005D0F18">
      <w:pPr>
        <w:spacing w:after="0"/>
        <w:jc w:val="center"/>
        <w:rPr>
          <w:rFonts w:ascii="MyriadPro-Regular" w:eastAsia="Times New Roman" w:hAnsi="MyriadPro-Regular" w:cs="Arial"/>
          <w:sz w:val="16"/>
          <w:szCs w:val="16"/>
          <w:lang w:val="es-ES" w:eastAsia="es-ES"/>
        </w:rPr>
      </w:pPr>
      <w:r w:rsidRPr="00487E5A">
        <w:rPr>
          <w:rFonts w:ascii="GalanoGrotesque-Medium" w:eastAsia="Times New Roman" w:hAnsi="GalanoGrotesque-Medium" w:cs="Arial"/>
          <w:noProof/>
          <w:sz w:val="24"/>
          <w:szCs w:val="24"/>
          <w:lang w:val="es-ES" w:eastAsia="es-ES"/>
        </w:rPr>
        <w:drawing>
          <wp:inline distT="0" distB="0" distL="0" distR="0" wp14:anchorId="729EEDB2" wp14:editId="5611B262">
            <wp:extent cx="3857625" cy="288127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9" name="Cambio de uso de suelo.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857625" cy="2881276"/>
                    </a:xfrm>
                    <a:prstGeom prst="rect">
                      <a:avLst/>
                    </a:prstGeom>
                  </pic:spPr>
                </pic:pic>
              </a:graphicData>
            </a:graphic>
          </wp:inline>
        </w:drawing>
      </w:r>
    </w:p>
    <w:p w14:paraId="7F3D2A26" w14:textId="77777777" w:rsidR="005C2B72" w:rsidRDefault="005C2B72" w:rsidP="005D0F18">
      <w:pPr>
        <w:tabs>
          <w:tab w:val="right" w:pos="9972"/>
        </w:tabs>
        <w:ind w:left="1985"/>
        <w:rPr>
          <w:rFonts w:ascii="MyriadPro-Regular" w:eastAsia="Times New Roman" w:hAnsi="MyriadPro-Regular" w:cs="Arial"/>
          <w:bCs/>
          <w:sz w:val="16"/>
          <w:szCs w:val="16"/>
          <w:lang w:val="es-ES" w:eastAsia="es-ES"/>
        </w:rPr>
      </w:pPr>
      <w:r w:rsidRPr="00720747">
        <w:rPr>
          <w:rFonts w:ascii="MyriadPro-Regular" w:eastAsia="Times New Roman" w:hAnsi="MyriadPro-Regular" w:cs="Arial"/>
          <w:sz w:val="16"/>
          <w:szCs w:val="16"/>
          <w:lang w:val="es-ES" w:eastAsia="es-ES"/>
        </w:rPr>
        <w:t xml:space="preserve">Fuente: </w:t>
      </w:r>
      <w:r>
        <w:rPr>
          <w:rFonts w:ascii="MyriadPro-Regular" w:eastAsia="Calibri" w:hAnsi="MyriadPro-Regular" w:cs="Arial"/>
          <w:sz w:val="16"/>
          <w:szCs w:val="16"/>
          <w:lang w:val="es-ES" w:eastAsia="es-ES"/>
        </w:rPr>
        <w:t xml:space="preserve">COFOM, </w:t>
      </w:r>
      <w:proofErr w:type="spellStart"/>
      <w:r>
        <w:rPr>
          <w:rFonts w:ascii="MyriadPro-Regular" w:eastAsia="Calibri" w:hAnsi="MyriadPro-Regular" w:cs="Arial"/>
          <w:sz w:val="16"/>
          <w:szCs w:val="16"/>
          <w:lang w:val="es-ES" w:eastAsia="es-ES"/>
        </w:rPr>
        <w:t>IEFyS</w:t>
      </w:r>
      <w:proofErr w:type="spellEnd"/>
      <w:r>
        <w:rPr>
          <w:rFonts w:ascii="MyriadPro-Regular" w:eastAsia="Calibri" w:hAnsi="MyriadPro-Regular" w:cs="Arial"/>
          <w:sz w:val="16"/>
          <w:szCs w:val="16"/>
          <w:lang w:val="es-ES" w:eastAsia="es-ES"/>
        </w:rPr>
        <w:t xml:space="preserve"> 2</w:t>
      </w:r>
    </w:p>
    <w:p w14:paraId="688702FE" w14:textId="77777777" w:rsidR="005C2B72" w:rsidRDefault="005C2B72" w:rsidP="005C2B72">
      <w:pPr>
        <w:tabs>
          <w:tab w:val="right" w:pos="9972"/>
        </w:tabs>
        <w:rPr>
          <w:rFonts w:ascii="MyriadPro-Regular" w:eastAsia="Times New Roman" w:hAnsi="MyriadPro-Regular" w:cs="Arial"/>
          <w:bCs/>
          <w:sz w:val="20"/>
          <w:szCs w:val="20"/>
          <w:lang w:val="es-ES" w:eastAsia="es-ES"/>
        </w:rPr>
        <w:sectPr w:rsidR="005C2B72" w:rsidSect="00215D6A">
          <w:footnotePr>
            <w:numStart w:val="4"/>
          </w:footnotePr>
          <w:type w:val="continuous"/>
          <w:pgSz w:w="12240" w:h="15840"/>
          <w:pgMar w:top="1418" w:right="1134" w:bottom="1418" w:left="1134" w:header="709" w:footer="709" w:gutter="0"/>
          <w:cols w:space="567"/>
          <w:docGrid w:linePitch="360"/>
        </w:sectPr>
      </w:pPr>
    </w:p>
    <w:p w14:paraId="1E8AA89C" w14:textId="77777777" w:rsidR="005C2B72" w:rsidRPr="005C2B72" w:rsidRDefault="005C2B72" w:rsidP="005C2B72">
      <w:pPr>
        <w:tabs>
          <w:tab w:val="right" w:pos="9972"/>
        </w:tabs>
        <w:spacing w:line="240" w:lineRule="exact"/>
        <w:jc w:val="both"/>
        <w:rPr>
          <w:rFonts w:ascii="MyriadPro-Regular" w:eastAsia="Times New Roman" w:hAnsi="MyriadPro-Regular" w:cs="Arial"/>
          <w:sz w:val="20"/>
          <w:szCs w:val="20"/>
          <w:lang w:val="es-ES" w:eastAsia="es-ES"/>
        </w:rPr>
      </w:pPr>
      <w:r w:rsidRPr="005C2B72">
        <w:rPr>
          <w:rFonts w:ascii="MyriadPro-Regular" w:eastAsia="Times New Roman" w:hAnsi="MyriadPro-Regular" w:cs="Arial"/>
          <w:bCs/>
          <w:sz w:val="20"/>
          <w:szCs w:val="20"/>
          <w:lang w:val="es-ES" w:eastAsia="es-ES"/>
        </w:rPr>
        <w:lastRenderedPageBreak/>
        <w:t>Pese a que el indicador de la tasa de deforestación por cada 10 mil hectáreas nos ubica  muy por debajo de la media nacional, es necesario ejecutar programas orientados a la reforestación y al establecimiento de plantaciones  con rápida recuperación de suelos como el nopal, la moringa y otras especies maderables y no maderables, para detener y revertir la degradación del suelo.</w:t>
      </w:r>
      <w:r w:rsidRPr="005C2B72">
        <w:rPr>
          <w:rFonts w:ascii="MyriadPro-Regular" w:eastAsia="Times New Roman" w:hAnsi="MyriadPro-Regular" w:cs="Arial"/>
          <w:sz w:val="20"/>
          <w:szCs w:val="20"/>
          <w:lang w:val="es-ES" w:eastAsia="es-ES"/>
        </w:rPr>
        <w:t xml:space="preserve"> </w:t>
      </w:r>
    </w:p>
    <w:p w14:paraId="48733672" w14:textId="7A40251F" w:rsidR="005D0F18" w:rsidRDefault="005C2B72" w:rsidP="005D0F18">
      <w:pPr>
        <w:spacing w:after="0" w:line="240" w:lineRule="exact"/>
        <w:jc w:val="both"/>
        <w:rPr>
          <w:rFonts w:ascii="MyriadPro-Regular" w:hAnsi="MyriadPro-Regular" w:cs="MyriadPro-Regular"/>
          <w:sz w:val="20"/>
          <w:szCs w:val="20"/>
        </w:rPr>
      </w:pPr>
      <w:r w:rsidRPr="005C2B72">
        <w:rPr>
          <w:rFonts w:ascii="MyriadPro-Regular" w:hAnsi="MyriadPro-Regular" w:cs="MyriadPro-Regular"/>
          <w:sz w:val="20"/>
          <w:szCs w:val="20"/>
        </w:rPr>
        <w:lastRenderedPageBreak/>
        <w:t>Los principales retos siguen siendo entonces la conservación y manejo sustentable de nuestros recursos naturales (bosques y selvas), así como la protección de la biodiversidad y del recurso hídrico</w:t>
      </w:r>
      <w:r w:rsidR="003F32DB">
        <w:rPr>
          <w:rFonts w:ascii="MyriadPro-Regular" w:hAnsi="MyriadPro-Regular" w:cs="MyriadPro-Regular"/>
          <w:sz w:val="20"/>
          <w:szCs w:val="20"/>
        </w:rPr>
        <w:t>.</w:t>
      </w:r>
    </w:p>
    <w:p w14:paraId="06FCA216" w14:textId="77777777" w:rsidR="005D0F18" w:rsidRDefault="005D0F18" w:rsidP="005D0F18">
      <w:pPr>
        <w:spacing w:after="0" w:line="240" w:lineRule="exact"/>
        <w:jc w:val="both"/>
        <w:rPr>
          <w:rFonts w:ascii="MyriadPro-Regular" w:hAnsi="MyriadPro-Regular" w:cs="MyriadPro-Regular"/>
          <w:sz w:val="20"/>
          <w:szCs w:val="20"/>
        </w:rPr>
      </w:pPr>
    </w:p>
    <w:p w14:paraId="24E2E456" w14:textId="77777777" w:rsidR="005D0F18" w:rsidRDefault="005D0F18" w:rsidP="005D0F18">
      <w:pPr>
        <w:spacing w:after="0" w:line="240" w:lineRule="exact"/>
        <w:jc w:val="both"/>
        <w:rPr>
          <w:rFonts w:ascii="GalanoGrotesque-Medium" w:eastAsia="Times New Roman" w:hAnsi="GalanoGrotesque-Medium" w:cs="Arial"/>
          <w:b/>
          <w:lang w:val="es-ES" w:eastAsia="es-ES"/>
        </w:rPr>
      </w:pPr>
      <w:r>
        <w:rPr>
          <w:rFonts w:ascii="GalanoGrotesque-Medium" w:eastAsia="Times New Roman" w:hAnsi="GalanoGrotesque-Medium" w:cs="Arial"/>
          <w:b/>
          <w:lang w:val="es-ES" w:eastAsia="es-ES"/>
        </w:rPr>
        <w:br w:type="page"/>
      </w:r>
    </w:p>
    <w:p w14:paraId="2F5E6F84" w14:textId="77777777" w:rsidR="00487E5A" w:rsidRPr="005D0F18" w:rsidRDefault="00487E5A" w:rsidP="005D0F18">
      <w:pPr>
        <w:spacing w:after="0" w:line="180" w:lineRule="exact"/>
        <w:jc w:val="center"/>
        <w:rPr>
          <w:rFonts w:ascii="GalanoGrotesque-Medium" w:eastAsia="Times New Roman" w:hAnsi="GalanoGrotesque-Medium" w:cs="Arial"/>
          <w:b/>
          <w:sz w:val="16"/>
          <w:szCs w:val="16"/>
          <w:lang w:val="es-ES" w:eastAsia="es-ES"/>
        </w:rPr>
      </w:pPr>
      <w:r w:rsidRPr="005D0F18">
        <w:rPr>
          <w:rFonts w:ascii="GalanoGrotesque-Medium" w:eastAsia="Times New Roman" w:hAnsi="GalanoGrotesque-Medium" w:cs="Arial"/>
          <w:b/>
          <w:sz w:val="16"/>
          <w:szCs w:val="16"/>
          <w:lang w:val="es-ES" w:eastAsia="es-ES"/>
        </w:rPr>
        <w:lastRenderedPageBreak/>
        <w:t>Gráfica 7.1</w:t>
      </w:r>
    </w:p>
    <w:p w14:paraId="54E8DE3D" w14:textId="77777777" w:rsidR="00530DA5" w:rsidRPr="005D0F18" w:rsidRDefault="00530DA5" w:rsidP="005D0F18">
      <w:pPr>
        <w:spacing w:after="160" w:line="180" w:lineRule="exact"/>
        <w:jc w:val="center"/>
        <w:rPr>
          <w:rFonts w:ascii="GalanoGrotesque-Medium" w:eastAsia="Times New Roman" w:hAnsi="GalanoGrotesque-Medium" w:cs="Arial"/>
          <w:sz w:val="16"/>
          <w:szCs w:val="16"/>
          <w:lang w:val="es-ES" w:eastAsia="es-ES"/>
        </w:rPr>
      </w:pPr>
      <w:r w:rsidRPr="005D0F18">
        <w:rPr>
          <w:rFonts w:ascii="GalanoGrotesque-Medium" w:eastAsia="Times New Roman" w:hAnsi="GalanoGrotesque-Medium" w:cs="Arial"/>
          <w:sz w:val="16"/>
          <w:szCs w:val="16"/>
          <w:lang w:val="es-ES" w:eastAsia="es-ES"/>
        </w:rPr>
        <w:t>Cambios de uso de suelo</w:t>
      </w:r>
    </w:p>
    <w:p w14:paraId="04A2A859" w14:textId="77777777" w:rsidR="00487E5A" w:rsidRPr="00487E5A" w:rsidRDefault="00487E5A" w:rsidP="00487E5A">
      <w:pPr>
        <w:spacing w:after="0"/>
        <w:jc w:val="center"/>
        <w:rPr>
          <w:rFonts w:ascii="GalanoGrotesque-Medium" w:eastAsia="Times New Roman" w:hAnsi="GalanoGrotesque-Medium" w:cs="Arial"/>
          <w:b/>
          <w:bCs/>
          <w:sz w:val="24"/>
          <w:szCs w:val="24"/>
          <w:lang w:val="es-ES" w:eastAsia="es-ES"/>
        </w:rPr>
      </w:pPr>
      <w:r w:rsidRPr="00487E5A">
        <w:rPr>
          <w:rFonts w:ascii="GalanoGrotesque-Medium" w:eastAsia="Times New Roman" w:hAnsi="GalanoGrotesque-Medium" w:cs="Times New Roman"/>
          <w:noProof/>
          <w:sz w:val="24"/>
          <w:szCs w:val="24"/>
          <w:lang w:val="es-ES" w:eastAsia="es-ES"/>
        </w:rPr>
        <w:drawing>
          <wp:inline distT="0" distB="0" distL="0" distR="0" wp14:anchorId="7FF54904" wp14:editId="7FFF2279">
            <wp:extent cx="2774950" cy="1849755"/>
            <wp:effectExtent l="0" t="0" r="6350" b="1714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F211E2B" w14:textId="77777777" w:rsidR="00487E5A" w:rsidRPr="00530DA5" w:rsidRDefault="00487E5A" w:rsidP="005D0F18">
      <w:pPr>
        <w:spacing w:after="0" w:line="240" w:lineRule="auto"/>
        <w:ind w:left="142"/>
        <w:rPr>
          <w:rFonts w:ascii="MyriadPro-Regular" w:eastAsia="Times New Roman" w:hAnsi="MyriadPro-Regular" w:cs="Arial"/>
          <w:sz w:val="16"/>
          <w:szCs w:val="16"/>
          <w:lang w:val="es-ES" w:eastAsia="es-ES"/>
        </w:rPr>
      </w:pPr>
      <w:r w:rsidRPr="00530DA5">
        <w:rPr>
          <w:rFonts w:ascii="MyriadPro-Regular" w:eastAsia="Times New Roman" w:hAnsi="MyriadPro-Regular" w:cs="Arial"/>
          <w:sz w:val="16"/>
          <w:szCs w:val="16"/>
          <w:lang w:val="es-ES" w:eastAsia="es-ES"/>
        </w:rPr>
        <w:t>Fuente: INEGI, 2010.</w:t>
      </w:r>
    </w:p>
    <w:p w14:paraId="648F4E88" w14:textId="77777777" w:rsidR="009D6A33" w:rsidRDefault="009D6A33" w:rsidP="009D6A33">
      <w:pPr>
        <w:spacing w:after="240" w:line="240" w:lineRule="auto"/>
        <w:jc w:val="both"/>
        <w:rPr>
          <w:rFonts w:ascii="GalanoGrotesque-Regular" w:eastAsia="Times New Roman" w:hAnsi="GalanoGrotesque-Regular" w:cs="Arial"/>
          <w:b/>
          <w:bCs/>
          <w:sz w:val="20"/>
          <w:szCs w:val="20"/>
          <w:lang w:val="es-ES" w:eastAsia="es-ES"/>
        </w:rPr>
      </w:pPr>
    </w:p>
    <w:p w14:paraId="68C49B6F" w14:textId="77777777" w:rsidR="00487E5A" w:rsidRPr="001D48E8" w:rsidRDefault="00487E5A" w:rsidP="009D6A33">
      <w:pPr>
        <w:spacing w:after="24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La inestabilidad de laderas, el creciente impacto por fenómenos hidrológicos naturales como huracanes y la vulnerabilidad de muchas de nuestras localidades, que exigen crecientes recursos en materia de protección civil, hacen necesario el uso pleno de los instrumentos de ordenamiento ecológico y territorial para impulsar el desarrollo económico sustentable en todas las actividades productivas, así como en los centros de población incluidas las zonas conurbadas y metropolitanas. </w:t>
      </w:r>
    </w:p>
    <w:p w14:paraId="09DD1797" w14:textId="77777777" w:rsidR="003F32DB" w:rsidRDefault="00487E5A" w:rsidP="003F32DB">
      <w:pPr>
        <w:autoSpaceDE w:val="0"/>
        <w:autoSpaceDN w:val="0"/>
        <w:adjustRightInd w:val="0"/>
        <w:spacing w:after="24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De acuerdo a los estudios sobre vulnerabilidad y a las predicciones hechas por los científicos, la intensificación del efecto invernadero y el fenómeno del cambio climático ocasionarán que varias regiones del territorio michoacano sean afectadas.  Principalmente los territorios ubicados en las costas y ciudades como Lázaro Cárdenas serán afectados por la predicción de elevación del nivel del mar e intensificación de huracanes. </w:t>
      </w:r>
      <w:r w:rsidR="009D6A33" w:rsidRPr="001D48E8">
        <w:rPr>
          <w:rFonts w:ascii="MyriadPro-Regular" w:hAnsi="MyriadPro-Regular" w:cs="MyriadPro-Regular"/>
          <w:color w:val="414142"/>
          <w:sz w:val="20"/>
          <w:szCs w:val="20"/>
        </w:rPr>
        <w:t xml:space="preserve">Como consecuencia, en lo ambiental grandes poblaciones de plantas y animales serían afectadas, modificando sus ubicaciones geográficas y los balances respecto de otras especies. </w:t>
      </w:r>
    </w:p>
    <w:p w14:paraId="7411A650" w14:textId="3BABA1C3" w:rsidR="006764BC" w:rsidRPr="001D48E8" w:rsidRDefault="006764BC" w:rsidP="003F32DB">
      <w:pPr>
        <w:spacing w:after="24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Los asentamientos humanos ya se están viendo afectados por los cambios en la  temperatura, impacto en la agricultura, impacto en ecosistemas forestales, zonas costeras, fenómenos de desertificación y sequia así como la hidrología con un aumento en la variación de lluvias torrenciales causantes de inundaciones severas, deslaves, huracanes etc. </w:t>
      </w:r>
    </w:p>
    <w:p w14:paraId="64263B9A" w14:textId="77777777" w:rsidR="00530DA5" w:rsidRDefault="006764BC" w:rsidP="006764BC">
      <w:pPr>
        <w:autoSpaceDE w:val="0"/>
        <w:autoSpaceDN w:val="0"/>
        <w:adjustRightInd w:val="0"/>
        <w:spacing w:after="0" w:line="240" w:lineRule="auto"/>
        <w:jc w:val="both"/>
        <w:rPr>
          <w:rFonts w:ascii="MyriadPro-Regular" w:hAnsi="MyriadPro-Regular" w:cs="MyriadPro-Regular"/>
          <w:color w:val="414142"/>
          <w:sz w:val="20"/>
          <w:szCs w:val="20"/>
        </w:rPr>
      </w:pPr>
      <w:r>
        <w:rPr>
          <w:rFonts w:ascii="MyriadPro-Regular" w:hAnsi="MyriadPro-Regular" w:cs="MyriadPro-Regular"/>
          <w:color w:val="414142"/>
          <w:sz w:val="20"/>
          <w:szCs w:val="20"/>
        </w:rPr>
        <w:lastRenderedPageBreak/>
        <w:t>Lo más alarmante es el ámbito urbano es que dependiendo de diversas variables de carácter socioeconómico tales como: inequidad-marginación, las afectaciones podrán tener un mayor o menor impacto dentro de un mismo radio. En otras palabras se podría decir que las áreas en donde viven ciudadanos con altos índices de pobreza, también su vulnerabilidad es mayor debido a la menor capacidad para afrontar estos riesgos.</w:t>
      </w:r>
    </w:p>
    <w:p w14:paraId="29C97C8E" w14:textId="77777777" w:rsidR="006764BC" w:rsidRDefault="006764BC" w:rsidP="006764BC">
      <w:pPr>
        <w:autoSpaceDE w:val="0"/>
        <w:autoSpaceDN w:val="0"/>
        <w:adjustRightInd w:val="0"/>
        <w:spacing w:after="0" w:line="240" w:lineRule="auto"/>
        <w:rPr>
          <w:rFonts w:ascii="MyriadPro-Regular" w:hAnsi="MyriadPro-Regular" w:cs="MyriadPro-Regular"/>
          <w:color w:val="414142"/>
          <w:sz w:val="20"/>
          <w:szCs w:val="20"/>
        </w:rPr>
      </w:pPr>
    </w:p>
    <w:p w14:paraId="31BC25DC" w14:textId="77777777" w:rsidR="00487E5A" w:rsidRPr="001D48E8" w:rsidRDefault="00487E5A" w:rsidP="00DD006F">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La resiliencia (adaptación/mitigación) frente a los efectos del cambio climático  puede ser atendida también, mediante una gestión integral de los residuos sólidos urbanos, la prevención de la contaminación de suelo y aire y la generación de energías limpias y renovables a partir de biomasas o la geotermia en la que Michoacán tiene gran potencial.</w:t>
      </w:r>
    </w:p>
    <w:p w14:paraId="1A052D56" w14:textId="77777777" w:rsidR="00487E5A" w:rsidRPr="001D48E8" w:rsidRDefault="00487E5A" w:rsidP="006764BC">
      <w:pPr>
        <w:spacing w:after="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Con una población superior a los cuatro millones de habitantes, 7 de cada 10 personas habitan en zonas consideradas ya de carácter urbano, además de contar con al menos tres zonas metropolitanas ubicadas en Morelia-</w:t>
      </w:r>
      <w:proofErr w:type="spellStart"/>
      <w:r w:rsidRPr="001D48E8">
        <w:rPr>
          <w:rFonts w:ascii="MyriadPro-Regular" w:hAnsi="MyriadPro-Regular" w:cs="MyriadPro-Regular"/>
          <w:color w:val="414142"/>
          <w:sz w:val="20"/>
          <w:szCs w:val="20"/>
        </w:rPr>
        <w:t>Tarimbaro</w:t>
      </w:r>
      <w:proofErr w:type="spellEnd"/>
      <w:r w:rsidRPr="001D48E8">
        <w:rPr>
          <w:rFonts w:ascii="MyriadPro-Regular" w:hAnsi="MyriadPro-Regular" w:cs="MyriadPro-Regular"/>
          <w:color w:val="414142"/>
          <w:sz w:val="20"/>
          <w:szCs w:val="20"/>
        </w:rPr>
        <w:t>; La Piedad-Pénjamo y la región Zamora-</w:t>
      </w:r>
      <w:proofErr w:type="spellStart"/>
      <w:r w:rsidRPr="001D48E8">
        <w:rPr>
          <w:rFonts w:ascii="MyriadPro-Regular" w:hAnsi="MyriadPro-Regular" w:cs="MyriadPro-Regular"/>
          <w:color w:val="414142"/>
          <w:sz w:val="20"/>
          <w:szCs w:val="20"/>
        </w:rPr>
        <w:t>Jacona</w:t>
      </w:r>
      <w:proofErr w:type="spellEnd"/>
      <w:r w:rsidRPr="001D48E8">
        <w:rPr>
          <w:rFonts w:ascii="MyriadPro-Regular" w:hAnsi="MyriadPro-Regular" w:cs="MyriadPro-Regular"/>
          <w:color w:val="414142"/>
          <w:sz w:val="20"/>
          <w:szCs w:val="20"/>
        </w:rPr>
        <w:t xml:space="preserve">. Estas concentraciones urbanas, los centros de población medianos y las pequeñas localidades del Estado, plantean retos importantes en cuanto a infraestructura, equipamiento y servicios públicos. </w:t>
      </w:r>
    </w:p>
    <w:p w14:paraId="53A8E97F" w14:textId="77777777" w:rsidR="00530DA5" w:rsidRPr="005D0F18" w:rsidRDefault="00530DA5" w:rsidP="005D0F18">
      <w:pPr>
        <w:spacing w:after="0" w:line="180" w:lineRule="exact"/>
        <w:jc w:val="center"/>
        <w:rPr>
          <w:rFonts w:ascii="GalanoGrotesque-Medium" w:eastAsia="Times New Roman" w:hAnsi="GalanoGrotesque-Medium" w:cs="Arial"/>
          <w:b/>
          <w:sz w:val="16"/>
          <w:szCs w:val="16"/>
          <w:lang w:val="es-ES" w:eastAsia="es-ES"/>
        </w:rPr>
      </w:pPr>
      <w:r w:rsidRPr="005D0F18">
        <w:rPr>
          <w:rFonts w:ascii="GalanoGrotesque-Medium" w:eastAsia="Times New Roman" w:hAnsi="GalanoGrotesque-Medium" w:cs="Arial"/>
          <w:b/>
          <w:sz w:val="16"/>
          <w:szCs w:val="16"/>
          <w:lang w:val="es-ES" w:eastAsia="es-ES"/>
        </w:rPr>
        <w:t>Tabla 7.2</w:t>
      </w:r>
    </w:p>
    <w:p w14:paraId="1212A241" w14:textId="77777777" w:rsidR="00530DA5" w:rsidRPr="005D0F18" w:rsidRDefault="00530DA5" w:rsidP="005D0F18">
      <w:pPr>
        <w:spacing w:after="160" w:line="180" w:lineRule="exact"/>
        <w:jc w:val="center"/>
        <w:rPr>
          <w:rFonts w:ascii="GalanoGrotesque-Medium" w:eastAsia="Times New Roman" w:hAnsi="GalanoGrotesque-Medium" w:cs="Arial"/>
          <w:sz w:val="16"/>
          <w:szCs w:val="16"/>
          <w:lang w:val="es-ES" w:eastAsia="es-ES"/>
        </w:rPr>
      </w:pPr>
      <w:r w:rsidRPr="005D0F18">
        <w:rPr>
          <w:rFonts w:ascii="GalanoGrotesque-Medium" w:eastAsia="Times New Roman" w:hAnsi="GalanoGrotesque-Medium" w:cs="Arial"/>
          <w:sz w:val="16"/>
          <w:szCs w:val="16"/>
          <w:lang w:val="es-ES" w:eastAsia="es-ES"/>
        </w:rPr>
        <w:t>Indicadores de sustentabilidad ambiental, resiliencia y prosperidad urbana</w:t>
      </w:r>
    </w:p>
    <w:p w14:paraId="6FE7476A" w14:textId="77777777" w:rsidR="00487E5A" w:rsidRPr="009D6A33" w:rsidRDefault="009D6A33" w:rsidP="009D6A33">
      <w:pPr>
        <w:spacing w:after="0"/>
        <w:jc w:val="center"/>
        <w:rPr>
          <w:rFonts w:ascii="GalanoGrotesque-Medium" w:eastAsia="Times New Roman" w:hAnsi="GalanoGrotesque-Medium" w:cs="Arial"/>
          <w:sz w:val="24"/>
          <w:szCs w:val="24"/>
          <w:lang w:val="es-ES" w:eastAsia="es-ES"/>
        </w:rPr>
        <w:sectPr w:rsidR="00487E5A" w:rsidRPr="009D6A33" w:rsidSect="00487E5A">
          <w:footnotePr>
            <w:numStart w:val="4"/>
          </w:footnotePr>
          <w:type w:val="continuous"/>
          <w:pgSz w:w="12240" w:h="15840"/>
          <w:pgMar w:top="1418" w:right="1134" w:bottom="1418" w:left="1134" w:header="709" w:footer="709" w:gutter="0"/>
          <w:cols w:num="2" w:space="567"/>
          <w:docGrid w:linePitch="360"/>
        </w:sectPr>
      </w:pPr>
      <w:r>
        <w:rPr>
          <w:noProof/>
          <w:lang w:val="es-ES" w:eastAsia="es-ES"/>
        </w:rPr>
        <w:drawing>
          <wp:inline distT="0" distB="0" distL="0" distR="0" wp14:anchorId="79DA7E41" wp14:editId="4E2A7F05">
            <wp:extent cx="3068261" cy="2905125"/>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68261" cy="2905125"/>
                    </a:xfrm>
                    <a:prstGeom prst="rect">
                      <a:avLst/>
                    </a:prstGeom>
                    <a:noFill/>
                    <a:extLst/>
                  </pic:spPr>
                </pic:pic>
              </a:graphicData>
            </a:graphic>
          </wp:inline>
        </w:drawing>
      </w:r>
    </w:p>
    <w:p w14:paraId="16ABA95E" w14:textId="77777777" w:rsidR="00487E5A" w:rsidRPr="00487E5A" w:rsidRDefault="00487E5A" w:rsidP="00DD006F">
      <w:pPr>
        <w:spacing w:after="240"/>
        <w:jc w:val="both"/>
        <w:rPr>
          <w:rFonts w:ascii="GalanoGrotesque-Medium" w:eastAsia="Times New Roman" w:hAnsi="GalanoGrotesque-Medium" w:cs="Arial"/>
          <w:bCs/>
          <w:sz w:val="24"/>
          <w:szCs w:val="24"/>
          <w:lang w:val="es-ES" w:eastAsia="es-ES"/>
        </w:rPr>
      </w:pPr>
    </w:p>
    <w:p w14:paraId="528D385D" w14:textId="77777777" w:rsidR="00487E5A" w:rsidRPr="00935233" w:rsidRDefault="00487E5A" w:rsidP="00487E5A">
      <w:pPr>
        <w:spacing w:after="0"/>
        <w:jc w:val="center"/>
        <w:rPr>
          <w:rFonts w:ascii="GalanoGrotesque-Medium" w:eastAsia="Times New Roman" w:hAnsi="GalanoGrotesque-Medium" w:cs="Arial"/>
          <w:b/>
          <w:sz w:val="18"/>
          <w:lang w:val="es-ES" w:eastAsia="es-ES"/>
        </w:rPr>
      </w:pPr>
      <w:r w:rsidRPr="00935233">
        <w:rPr>
          <w:rFonts w:ascii="GalanoGrotesque-Medium" w:eastAsia="Times New Roman" w:hAnsi="GalanoGrotesque-Medium" w:cs="Arial"/>
          <w:b/>
          <w:sz w:val="18"/>
          <w:lang w:val="es-ES" w:eastAsia="es-ES"/>
        </w:rPr>
        <w:lastRenderedPageBreak/>
        <w:t>Gráfica 7.2</w:t>
      </w:r>
    </w:p>
    <w:p w14:paraId="0EB830FD" w14:textId="77777777" w:rsidR="00487E5A" w:rsidRPr="00885B59" w:rsidRDefault="00487E5A" w:rsidP="00487E5A">
      <w:pPr>
        <w:spacing w:after="0"/>
        <w:jc w:val="center"/>
        <w:rPr>
          <w:rFonts w:ascii="GalanoGrotesque-Medium" w:eastAsia="Times New Roman" w:hAnsi="GalanoGrotesque-Medium" w:cs="Arial"/>
          <w:bCs/>
          <w:lang w:val="es-ES" w:eastAsia="es-ES"/>
        </w:rPr>
      </w:pPr>
      <w:r w:rsidRPr="00935233">
        <w:rPr>
          <w:rFonts w:ascii="GalanoGrotesque-Medium" w:eastAsia="Times New Roman" w:hAnsi="GalanoGrotesque-Medium" w:cs="Arial"/>
          <w:sz w:val="18"/>
          <w:lang w:val="es-ES" w:eastAsia="es-ES"/>
        </w:rPr>
        <w:t>Porcentaje de disposición de residuos sólidos en sitios controlados, 2012</w:t>
      </w:r>
    </w:p>
    <w:p w14:paraId="4B3C0E49" w14:textId="77777777" w:rsidR="00487E5A" w:rsidRPr="00487E5A" w:rsidRDefault="00487E5A" w:rsidP="00487E5A">
      <w:pPr>
        <w:spacing w:after="0"/>
        <w:jc w:val="both"/>
        <w:rPr>
          <w:rFonts w:ascii="GalanoGrotesque-Medium" w:eastAsia="Times New Roman" w:hAnsi="GalanoGrotesque-Medium" w:cs="Arial"/>
          <w:bCs/>
          <w:sz w:val="24"/>
          <w:szCs w:val="24"/>
          <w:lang w:val="es-ES" w:eastAsia="es-ES"/>
        </w:rPr>
      </w:pPr>
    </w:p>
    <w:p w14:paraId="59FCDF15" w14:textId="77777777" w:rsidR="00487E5A" w:rsidRPr="00487E5A" w:rsidRDefault="00487E5A" w:rsidP="00487E5A">
      <w:pPr>
        <w:spacing w:after="0"/>
        <w:jc w:val="center"/>
        <w:rPr>
          <w:rFonts w:ascii="GalanoGrotesque-Medium" w:eastAsia="Times New Roman" w:hAnsi="GalanoGrotesque-Medium" w:cs="Arial"/>
          <w:bCs/>
          <w:sz w:val="24"/>
          <w:szCs w:val="24"/>
          <w:lang w:val="es-ES" w:eastAsia="es-ES"/>
        </w:rPr>
      </w:pPr>
      <w:r w:rsidRPr="00487E5A">
        <w:rPr>
          <w:rFonts w:ascii="GalanoGrotesque-Medium" w:eastAsia="Times New Roman" w:hAnsi="GalanoGrotesque-Medium" w:cs="Times New Roman"/>
          <w:noProof/>
          <w:sz w:val="24"/>
          <w:szCs w:val="24"/>
          <w:lang w:val="es-ES" w:eastAsia="es-ES"/>
        </w:rPr>
        <w:drawing>
          <wp:inline distT="0" distB="0" distL="0" distR="0" wp14:anchorId="4F57C2F3" wp14:editId="74DEBFD6">
            <wp:extent cx="6223635" cy="3667125"/>
            <wp:effectExtent l="0" t="0" r="571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36719" cy="3674834"/>
                    </a:xfrm>
                    <a:prstGeom prst="rect">
                      <a:avLst/>
                    </a:prstGeom>
                  </pic:spPr>
                </pic:pic>
              </a:graphicData>
            </a:graphic>
          </wp:inline>
        </w:drawing>
      </w:r>
    </w:p>
    <w:p w14:paraId="55071D4B" w14:textId="77777777" w:rsidR="00487E5A" w:rsidRPr="00687E1D" w:rsidRDefault="00487E5A" w:rsidP="00687E1D">
      <w:pPr>
        <w:spacing w:after="0"/>
        <w:jc w:val="center"/>
        <w:rPr>
          <w:rFonts w:ascii="GalanoGrotesque-Regular" w:eastAsia="Times New Roman" w:hAnsi="GalanoGrotesque-Regular" w:cs="Arial"/>
          <w:sz w:val="16"/>
          <w:szCs w:val="16"/>
          <w:lang w:val="es-ES" w:eastAsia="es-ES"/>
        </w:rPr>
      </w:pPr>
    </w:p>
    <w:p w14:paraId="0CFB98F8" w14:textId="77777777" w:rsidR="00687E1D" w:rsidRPr="00687E1D" w:rsidRDefault="00687E1D" w:rsidP="00DD006F">
      <w:pPr>
        <w:rPr>
          <w:rFonts w:ascii="MyriadPro-Regular" w:hAnsi="MyriadPro-Regular" w:cs="Arial"/>
          <w:sz w:val="16"/>
          <w:szCs w:val="16"/>
        </w:rPr>
        <w:sectPr w:rsidR="00687E1D" w:rsidRPr="00687E1D" w:rsidSect="00487E5A">
          <w:footnotePr>
            <w:numStart w:val="4"/>
          </w:footnotePr>
          <w:type w:val="continuous"/>
          <w:pgSz w:w="12240" w:h="15840"/>
          <w:pgMar w:top="1418" w:right="1134" w:bottom="1418" w:left="1134" w:header="709" w:footer="709" w:gutter="0"/>
          <w:cols w:space="567"/>
          <w:docGrid w:linePitch="360"/>
        </w:sectPr>
      </w:pPr>
      <w:r w:rsidRPr="00687E1D">
        <w:rPr>
          <w:rFonts w:ascii="MyriadPro-Regular" w:hAnsi="MyriadPro-Regular" w:cs="Arial"/>
          <w:sz w:val="16"/>
          <w:szCs w:val="16"/>
        </w:rPr>
        <w:t>Fuente: Secretaría del Medio Ambiente y Recursos Naturales (SEMARNAT) 2012.</w:t>
      </w:r>
    </w:p>
    <w:p w14:paraId="2B2829F4" w14:textId="2DD5B262" w:rsidR="00DD006F" w:rsidRDefault="00DD006F" w:rsidP="00DD006F">
      <w:pPr>
        <w:autoSpaceDE w:val="0"/>
        <w:autoSpaceDN w:val="0"/>
        <w:adjustRightInd w:val="0"/>
        <w:spacing w:after="160" w:line="240" w:lineRule="auto"/>
        <w:jc w:val="both"/>
        <w:rPr>
          <w:rFonts w:ascii="MyriadPro-Regular" w:hAnsi="MyriadPro-Regular" w:cs="MyriadPro-Regular"/>
          <w:color w:val="414142"/>
          <w:sz w:val="20"/>
          <w:szCs w:val="20"/>
        </w:rPr>
      </w:pPr>
      <w:r>
        <w:rPr>
          <w:rFonts w:ascii="MyriadPro-Regular" w:hAnsi="MyriadPro-Regular" w:cs="MyriadPro-Regular"/>
          <w:color w:val="414142"/>
          <w:sz w:val="20"/>
          <w:szCs w:val="20"/>
        </w:rPr>
        <w:lastRenderedPageBreak/>
        <w:t>Por su parte, un elevado porcentaje de los residuos sólidos urbanos y de manejo especial no son</w:t>
      </w:r>
      <w:r w:rsidR="00F32CC0">
        <w:rPr>
          <w:rFonts w:ascii="MyriadPro-Regular" w:hAnsi="MyriadPro-Regular" w:cs="MyriadPro-Regular"/>
          <w:color w:val="414142"/>
          <w:sz w:val="20"/>
          <w:szCs w:val="20"/>
        </w:rPr>
        <w:t xml:space="preserve"> </w:t>
      </w:r>
      <w:r>
        <w:rPr>
          <w:rFonts w:ascii="MyriadPro-Regular" w:hAnsi="MyriadPro-Regular" w:cs="MyriadPro-Regular"/>
          <w:color w:val="414142"/>
          <w:sz w:val="20"/>
          <w:szCs w:val="20"/>
        </w:rPr>
        <w:t>dispuestos en forma adecuada de acuerdo a la legislación ambiental federal o estatal. Michoacán estaba ubicado en el 2012, en la posición vigésima quinta nacional respecto al porcentaje de disposición de residuos sólidos en sitios controlados (50%); 22 puntos por debajo de la media nacional</w:t>
      </w:r>
    </w:p>
    <w:p w14:paraId="3EDE3089" w14:textId="77777777" w:rsidR="00487E5A" w:rsidRPr="001D48E8" w:rsidRDefault="00487E5A" w:rsidP="00DD006F">
      <w:pPr>
        <w:spacing w:after="24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En el año 2010, se registraron 168 puntos de descargas de aguas residuales sin tratamiento en la entidad; el 72 % de éstos se localiza en ríos y arroyos. En el año 2012 apenas el 30% de las aguas residuales recibía algún tipo tratamiento, lo que nos ubicó en el lugar vigésimo cuarto lugar, 20 puntos debajo de la media nacional. La mayoría de las plantas por el alto costo de  su operación, permanecen inactivas y sus diseños  tecnológicos no responden a las necesidades de los centros de </w:t>
      </w:r>
      <w:r w:rsidRPr="001D48E8">
        <w:rPr>
          <w:rFonts w:ascii="MyriadPro-Regular" w:hAnsi="MyriadPro-Regular" w:cs="MyriadPro-Regular"/>
          <w:color w:val="414142"/>
          <w:sz w:val="20"/>
          <w:szCs w:val="20"/>
        </w:rPr>
        <w:lastRenderedPageBreak/>
        <w:t>población y con rapidez se convierten en infraestructura obsoleta.</w:t>
      </w:r>
    </w:p>
    <w:p w14:paraId="6CF8C8C4" w14:textId="77777777" w:rsidR="00487E5A" w:rsidRPr="001D48E8" w:rsidRDefault="00487E5A" w:rsidP="001D48E8">
      <w:pPr>
        <w:spacing w:after="24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El tratamiento de las aguas residuales será atendido para que los municipios generen soluciones integrales y sin las cargas financieras que muchas veces les representan. Necesitamos urgentemente invertir en sistemas innovadores para racionalizar y hacer eficiente el uso y reúso de este vital recurso natural.  </w:t>
      </w:r>
    </w:p>
    <w:p w14:paraId="1F3AEE9B" w14:textId="77777777" w:rsidR="00DD006F" w:rsidRDefault="00DD006F" w:rsidP="00687E1D">
      <w:pPr>
        <w:spacing w:after="0" w:line="200" w:lineRule="exact"/>
        <w:jc w:val="center"/>
        <w:rPr>
          <w:rFonts w:ascii="GalanoGrotesque-Medium" w:hAnsi="GalanoGrotesque-Medium" w:cs="Arial"/>
          <w:b/>
        </w:rPr>
      </w:pPr>
      <w:r>
        <w:rPr>
          <w:rFonts w:ascii="GalanoGrotesque-Medium" w:hAnsi="GalanoGrotesque-Medium" w:cs="Arial"/>
          <w:b/>
        </w:rPr>
        <w:br w:type="page"/>
      </w:r>
    </w:p>
    <w:p w14:paraId="32E07D43" w14:textId="77777777" w:rsidR="00487E5A" w:rsidRPr="00DD006F" w:rsidRDefault="00487E5A" w:rsidP="00687E1D">
      <w:pPr>
        <w:spacing w:after="0" w:line="200" w:lineRule="exact"/>
        <w:jc w:val="center"/>
        <w:rPr>
          <w:rFonts w:ascii="GalanoGrotesque-Medium" w:hAnsi="GalanoGrotesque-Medium" w:cs="Arial"/>
          <w:b/>
          <w:sz w:val="16"/>
          <w:szCs w:val="16"/>
        </w:rPr>
      </w:pPr>
      <w:r w:rsidRPr="00DD006F">
        <w:rPr>
          <w:rFonts w:ascii="GalanoGrotesque-Medium" w:hAnsi="GalanoGrotesque-Medium" w:cs="Arial"/>
          <w:b/>
          <w:sz w:val="16"/>
          <w:szCs w:val="16"/>
        </w:rPr>
        <w:lastRenderedPageBreak/>
        <w:t>Gráfica 7.3</w:t>
      </w:r>
    </w:p>
    <w:p w14:paraId="69323BB8" w14:textId="77777777" w:rsidR="00487E5A" w:rsidRPr="00DD006F" w:rsidRDefault="00487E5A" w:rsidP="00687E1D">
      <w:pPr>
        <w:spacing w:after="0" w:line="200" w:lineRule="exact"/>
        <w:jc w:val="center"/>
        <w:rPr>
          <w:rFonts w:ascii="GalanoGrotesque-Medium" w:hAnsi="GalanoGrotesque-Medium" w:cs="Arial"/>
          <w:sz w:val="16"/>
          <w:szCs w:val="16"/>
        </w:rPr>
      </w:pPr>
      <w:r w:rsidRPr="00DD006F">
        <w:rPr>
          <w:rFonts w:ascii="GalanoGrotesque-Medium" w:hAnsi="GalanoGrotesque-Medium" w:cs="Arial"/>
          <w:sz w:val="16"/>
          <w:szCs w:val="16"/>
        </w:rPr>
        <w:t>Saneamiento de aguas residuales del caudal recolectado</w:t>
      </w:r>
    </w:p>
    <w:p w14:paraId="4729ED84" w14:textId="77777777" w:rsidR="00687E1D" w:rsidRPr="00687E1D" w:rsidRDefault="00687E1D" w:rsidP="00687E1D">
      <w:pPr>
        <w:spacing w:after="0" w:line="200" w:lineRule="exact"/>
        <w:jc w:val="center"/>
        <w:rPr>
          <w:rFonts w:ascii="GalanoGrotesque-Medium" w:hAnsi="GalanoGrotesque-Medium" w:cs="Arial"/>
        </w:rPr>
      </w:pPr>
    </w:p>
    <w:p w14:paraId="2E89BB78" w14:textId="77777777" w:rsidR="00487E5A" w:rsidRPr="00487E5A" w:rsidRDefault="00487E5A" w:rsidP="00487E5A">
      <w:pPr>
        <w:jc w:val="center"/>
        <w:rPr>
          <w:rFonts w:ascii="GalanoGrotesque-Medium" w:hAnsi="GalanoGrotesque-Medium" w:cs="Arial"/>
          <w:b/>
          <w:sz w:val="24"/>
          <w:szCs w:val="24"/>
        </w:rPr>
      </w:pPr>
      <w:r w:rsidRPr="00487E5A">
        <w:rPr>
          <w:rFonts w:ascii="GalanoGrotesque-Medium" w:hAnsi="GalanoGrotesque-Medium"/>
          <w:noProof/>
          <w:sz w:val="24"/>
          <w:szCs w:val="24"/>
          <w:lang w:val="es-ES" w:eastAsia="es-ES"/>
        </w:rPr>
        <w:drawing>
          <wp:inline distT="0" distB="0" distL="0" distR="0" wp14:anchorId="20727399" wp14:editId="61C97BFD">
            <wp:extent cx="3086100" cy="1565659"/>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08087" cy="1576814"/>
                    </a:xfrm>
                    <a:prstGeom prst="rect">
                      <a:avLst/>
                    </a:prstGeom>
                  </pic:spPr>
                </pic:pic>
              </a:graphicData>
            </a:graphic>
          </wp:inline>
        </w:drawing>
      </w:r>
    </w:p>
    <w:p w14:paraId="74E9AE40" w14:textId="77777777" w:rsidR="00487E5A" w:rsidRPr="00687E1D" w:rsidRDefault="00487E5A" w:rsidP="00DD006F">
      <w:pPr>
        <w:rPr>
          <w:rFonts w:ascii="MyriadPro-Regular" w:hAnsi="MyriadPro-Regular" w:cs="Arial"/>
          <w:sz w:val="16"/>
          <w:szCs w:val="16"/>
        </w:rPr>
      </w:pPr>
      <w:r w:rsidRPr="00687E1D">
        <w:rPr>
          <w:rFonts w:ascii="MyriadPro-Regular" w:hAnsi="MyriadPro-Regular" w:cs="Arial"/>
          <w:sz w:val="16"/>
          <w:szCs w:val="16"/>
        </w:rPr>
        <w:t>Fuente: Secretaría del Medio Ambiente y Recursos Naturales (SEMARNAT) 2013.</w:t>
      </w:r>
    </w:p>
    <w:p w14:paraId="43CECE47" w14:textId="77777777" w:rsidR="00487E5A" w:rsidRPr="001D48E8" w:rsidRDefault="00487E5A" w:rsidP="001D0897">
      <w:pPr>
        <w:spacing w:after="24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Reforzar la educación ambiental en todo el sistema educativo, el estado de derecho en materia de procuración de justicia ambiental, las Áreas para la Conservación del Patrimonio Natural así como la biodiversidad que albergan, son también temas de la agenda estatal.</w:t>
      </w:r>
    </w:p>
    <w:p w14:paraId="6FCC4B8A" w14:textId="77777777" w:rsidR="00487E5A" w:rsidRPr="001D48E8" w:rsidRDefault="00487E5A" w:rsidP="001D0897">
      <w:pPr>
        <w:spacing w:after="24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Después de 60 años de transformación por el auge industrializador del país, Michoacán ya no es un estado únicamente rural. Actualmente más del 65% de su población vive en centros urbanos. En otras palabras el 60% de la población vive en 20 ciudades del Estado.  Aun cuando una de las fuentes principales de generación de riqueza depende de productos de exportación agrícola y minera más de dos terceras partes del Producto Interno Bruto se generan en ciudades a través de servicios y la transformación industrial. La distribución por sectores representa el primario 10%, secundario 25% y terciario 65%, este último instalado principalmente en las ciudades. Por otro lado, el 31.3% de la población en Michoacán se sitúa en localidades menores a 2,500 habitantes.</w:t>
      </w:r>
    </w:p>
    <w:p w14:paraId="0B7ACD7F" w14:textId="77777777" w:rsidR="00487E5A" w:rsidRPr="001D48E8" w:rsidRDefault="00487E5A" w:rsidP="001D0897">
      <w:pPr>
        <w:spacing w:after="24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Este proceso de altos índices de urbanización y generación de riqueza no está exento de contrastes. De acuerdo con datos de ONU-Hábitat aun con los efectos negativos por la degradación ambiental, informalidad y violencia que este proceso involucra, la consolidación de la vida urbana no tiene revés. Se estima que para el año 2050 el índice de urbanización podría alcanzar entre el 85% al 90%.</w:t>
      </w:r>
    </w:p>
    <w:p w14:paraId="012A2508" w14:textId="77777777" w:rsidR="00487E5A" w:rsidRPr="001D48E8" w:rsidRDefault="00487E5A" w:rsidP="001D0897">
      <w:pPr>
        <w:spacing w:after="24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Como consecuencia de este proceso, la pobreza, inequidad y violencia urbana se presentan como los grandes retos. La segregación geográfica se hace evidente en cada rincón del tejido urbano de las </w:t>
      </w:r>
      <w:r w:rsidRPr="001D48E8">
        <w:rPr>
          <w:rFonts w:ascii="MyriadPro-Regular" w:hAnsi="MyriadPro-Regular" w:cs="MyriadPro-Regular"/>
          <w:color w:val="414142"/>
          <w:sz w:val="20"/>
          <w:szCs w:val="20"/>
        </w:rPr>
        <w:lastRenderedPageBreak/>
        <w:t xml:space="preserve">ciudades y pueblos michoacanos, a pesar de los constantes esfuerzos de instituciones y políticas públicas para revertir esta realidad. </w:t>
      </w:r>
    </w:p>
    <w:p w14:paraId="48DB579B" w14:textId="77777777" w:rsidR="00487E5A" w:rsidRPr="001D48E8" w:rsidRDefault="00487E5A" w:rsidP="001D0897">
      <w:pPr>
        <w:spacing w:after="24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El impacto de las ciudades no es menor. El conjunto de las 5 principales ciudades, Morelia, Lázaro Cárdenas, Zamora, Uruapan y La Piedad, contribuyen con más del 60% de la Producción Bruta del Estado.</w:t>
      </w:r>
    </w:p>
    <w:p w14:paraId="21BCBBE4" w14:textId="77777777" w:rsidR="00487E5A" w:rsidRPr="001D48E8" w:rsidRDefault="00487E5A" w:rsidP="001D0897">
      <w:pPr>
        <w:spacing w:after="24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Sin embargo, las ciudades michoacanas no sólo son centros de desarrollo económico sino también lugares donde se concentra la producción de conocimiento, innovación, intercambio artístico y cultural. En otras palabras son las puertas de conexión con el resto del mundo.</w:t>
      </w:r>
    </w:p>
    <w:p w14:paraId="6080CBF4" w14:textId="77777777" w:rsidR="00487E5A" w:rsidRPr="001D48E8" w:rsidRDefault="00487E5A" w:rsidP="001D0897">
      <w:pPr>
        <w:spacing w:after="24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No obstante, el patrón de ocupación territorial actual no responde a los grandes retos que afronta el Estado. De acuerdo con CTS </w:t>
      </w:r>
      <w:proofErr w:type="spellStart"/>
      <w:r w:rsidRPr="001D48E8">
        <w:rPr>
          <w:rFonts w:ascii="MyriadPro-Regular" w:hAnsi="MyriadPro-Regular" w:cs="MyriadPro-Regular"/>
          <w:color w:val="414142"/>
          <w:sz w:val="20"/>
          <w:szCs w:val="20"/>
        </w:rPr>
        <w:t>embarq</w:t>
      </w:r>
      <w:r w:rsidR="001D48E8">
        <w:rPr>
          <w:rFonts w:ascii="MyriadPro-Regular" w:hAnsi="MyriadPro-Regular" w:cs="MyriadPro-Regular"/>
          <w:color w:val="414142"/>
          <w:sz w:val="20"/>
          <w:szCs w:val="20"/>
        </w:rPr>
        <w:t>o</w:t>
      </w:r>
      <w:proofErr w:type="spellEnd"/>
      <w:r w:rsidRPr="001D48E8">
        <w:rPr>
          <w:rFonts w:ascii="MyriadPro-Regular" w:hAnsi="MyriadPro-Regular" w:cs="MyriadPro-Regular"/>
          <w:color w:val="414142"/>
          <w:sz w:val="20"/>
          <w:szCs w:val="20"/>
        </w:rPr>
        <w:t xml:space="preserve">, nuestras ciudades crecen con base en un modelo de ocupación del territorio–Distante, Disperso y Desconectado, caracterizado por la expansión desproporcionada, fragmentada y no </w:t>
      </w:r>
      <w:proofErr w:type="spellStart"/>
      <w:r w:rsidRPr="001D48E8">
        <w:rPr>
          <w:rFonts w:ascii="MyriadPro-Regular" w:hAnsi="MyriadPro-Regular" w:cs="MyriadPro-Regular"/>
          <w:color w:val="414142"/>
          <w:sz w:val="20"/>
          <w:szCs w:val="20"/>
        </w:rPr>
        <w:t>planiﬁcada</w:t>
      </w:r>
      <w:proofErr w:type="spellEnd"/>
      <w:r w:rsidRPr="001D48E8">
        <w:rPr>
          <w:rFonts w:ascii="MyriadPro-Regular" w:hAnsi="MyriadPro-Regular" w:cs="MyriadPro-Regular"/>
          <w:color w:val="414142"/>
          <w:sz w:val="20"/>
          <w:szCs w:val="20"/>
        </w:rPr>
        <w:t xml:space="preserve"> de la mancha urbana. Mientras la población urbana del Estado ha crecido poco en los últimos 20 años, la </w:t>
      </w:r>
      <w:proofErr w:type="spellStart"/>
      <w:r w:rsidRPr="001D48E8">
        <w:rPr>
          <w:rFonts w:ascii="MyriadPro-Regular" w:hAnsi="MyriadPro-Regular" w:cs="MyriadPro-Regular"/>
          <w:color w:val="414142"/>
          <w:sz w:val="20"/>
          <w:szCs w:val="20"/>
        </w:rPr>
        <w:t>superﬁcie</w:t>
      </w:r>
      <w:proofErr w:type="spellEnd"/>
      <w:r w:rsidRPr="001D48E8">
        <w:rPr>
          <w:rFonts w:ascii="MyriadPro-Regular" w:hAnsi="MyriadPro-Regular" w:cs="MyriadPro-Regular"/>
          <w:color w:val="414142"/>
          <w:sz w:val="20"/>
          <w:szCs w:val="20"/>
        </w:rPr>
        <w:t xml:space="preserve"> urbanizada se ha multiplicado exponencialmente.  Como ejemplo la Capital del Estado, Morelia, en 1990 contaba con casi 500 000 habitantes y apenas  sobrepasaba el circuito interior o libramiento y, para el 2010 con un aumento a 720 000 habitantes, su mancha urbana ha sobrepasado más del doble de superficie.</w:t>
      </w:r>
    </w:p>
    <w:p w14:paraId="481D3D56" w14:textId="77777777" w:rsidR="00487E5A" w:rsidRPr="001D48E8" w:rsidRDefault="00487E5A" w:rsidP="001D0897">
      <w:pPr>
        <w:spacing w:after="24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Este modelo de ocupación territorial resulta altamente improductivo, profundiza la desigualdad y genera altos niveles de contaminación y emisiones de gases con efecto invernadero.  A su vez, esta situación aumenta el riesgo urbano al cambio climático, potenciado por la ocupación de territorios susceptibles a fenómenos meteorológicos extremos.</w:t>
      </w:r>
    </w:p>
    <w:p w14:paraId="7D028A78" w14:textId="0ED154D9" w:rsidR="00487E5A" w:rsidRPr="001D48E8" w:rsidRDefault="00487E5A" w:rsidP="00B32DC4">
      <w:pPr>
        <w:spacing w:after="24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En el ámbito económico el modelo urbano desarticulado es altamente </w:t>
      </w:r>
      <w:proofErr w:type="spellStart"/>
      <w:r w:rsidRPr="001D48E8">
        <w:rPr>
          <w:rFonts w:ascii="MyriadPro-Regular" w:hAnsi="MyriadPro-Regular" w:cs="MyriadPro-Regular"/>
          <w:color w:val="414142"/>
          <w:sz w:val="20"/>
          <w:szCs w:val="20"/>
        </w:rPr>
        <w:t>ineﬁciente</w:t>
      </w:r>
      <w:proofErr w:type="spellEnd"/>
      <w:r w:rsidRPr="001D48E8">
        <w:rPr>
          <w:rFonts w:ascii="MyriadPro-Regular" w:hAnsi="MyriadPro-Regular" w:cs="MyriadPro-Regular"/>
          <w:color w:val="414142"/>
          <w:sz w:val="20"/>
          <w:szCs w:val="20"/>
        </w:rPr>
        <w:t xml:space="preserve"> e improductivo, ya que aumenta distancias, tiempos y costos de traslado al interior de las ciudades. El costo de traslado de una familia puede llegar a ser hasta tres veces más caro al adoptar una vida sub-urbana e </w:t>
      </w:r>
      <w:r w:rsidRPr="001D48E8">
        <w:rPr>
          <w:rFonts w:ascii="MyriadPro-Regular" w:hAnsi="MyriadPro-Regular" w:cs="MyriadPro-Regular"/>
          <w:color w:val="414142"/>
          <w:sz w:val="20"/>
          <w:szCs w:val="20"/>
        </w:rPr>
        <w:lastRenderedPageBreak/>
        <w:t xml:space="preserve">invertir entre el 25 al 30 % del salario base. Por otro lado, el patrón de crecimiento extenso y fragmentado hace que las ciudades mexicanas sean </w:t>
      </w:r>
      <w:proofErr w:type="spellStart"/>
      <w:r w:rsidRPr="001D48E8">
        <w:rPr>
          <w:rFonts w:ascii="MyriadPro-Regular" w:hAnsi="MyriadPro-Regular" w:cs="MyriadPro-Regular"/>
          <w:color w:val="414142"/>
          <w:sz w:val="20"/>
          <w:szCs w:val="20"/>
        </w:rPr>
        <w:t>ineﬁcientes</w:t>
      </w:r>
      <w:proofErr w:type="spellEnd"/>
      <w:r w:rsidRPr="001D48E8">
        <w:rPr>
          <w:rFonts w:ascii="MyriadPro-Regular" w:hAnsi="MyriadPro-Regular" w:cs="MyriadPro-Regular"/>
          <w:color w:val="414142"/>
          <w:sz w:val="20"/>
          <w:szCs w:val="20"/>
        </w:rPr>
        <w:t xml:space="preserve"> para abastecer, equipar y administrar. Bajo este modelo, resulta caro proveer servicios de electricidad, agua y alcantarillado, recolectar los residuos sólidos, hacer labores de limpieza, mantenimiento y vigilancia de calles y espacios públicos. Esta situación agrava la debilidad </w:t>
      </w:r>
      <w:proofErr w:type="spellStart"/>
      <w:r w:rsidRPr="001D48E8">
        <w:rPr>
          <w:rFonts w:ascii="MyriadPro-Regular" w:hAnsi="MyriadPro-Regular" w:cs="MyriadPro-Regular"/>
          <w:color w:val="414142"/>
          <w:sz w:val="20"/>
          <w:szCs w:val="20"/>
        </w:rPr>
        <w:t>ﬁnanciera</w:t>
      </w:r>
      <w:proofErr w:type="spellEnd"/>
      <w:r w:rsidRPr="001D48E8">
        <w:rPr>
          <w:rFonts w:ascii="MyriadPro-Regular" w:hAnsi="MyriadPro-Regular" w:cs="MyriadPro-Regular"/>
          <w:color w:val="414142"/>
          <w:sz w:val="20"/>
          <w:szCs w:val="20"/>
        </w:rPr>
        <w:t xml:space="preserve"> de los municipios, de los cuales se estima que el 70% se encuentra en situación difícil de liquidez.</w:t>
      </w:r>
    </w:p>
    <w:p w14:paraId="658728BC" w14:textId="77777777" w:rsidR="00487E5A" w:rsidRPr="001D48E8" w:rsidRDefault="00487E5A" w:rsidP="001D48E8">
      <w:pPr>
        <w:spacing w:after="24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El Índice de Competitividad Urbana en el 2012 ubica a Michoacán en la posición décimo octava nacional con 44.9 puntos, ligeramente debajo de la media nacional.</w:t>
      </w:r>
    </w:p>
    <w:p w14:paraId="0D3299FA" w14:textId="77777777" w:rsidR="00612E7B" w:rsidRPr="00DD006F" w:rsidRDefault="00612E7B" w:rsidP="00D32FEF">
      <w:pPr>
        <w:spacing w:after="0" w:line="240" w:lineRule="exact"/>
        <w:jc w:val="center"/>
        <w:rPr>
          <w:rFonts w:ascii="GalanoGrotesque-Medium" w:hAnsi="GalanoGrotesque-Medium" w:cs="Arial"/>
          <w:b/>
          <w:sz w:val="16"/>
          <w:szCs w:val="16"/>
        </w:rPr>
      </w:pPr>
      <w:r w:rsidRPr="00DD006F">
        <w:rPr>
          <w:rFonts w:ascii="GalanoGrotesque-Medium" w:hAnsi="GalanoGrotesque-Medium" w:cs="Arial"/>
          <w:b/>
          <w:sz w:val="16"/>
          <w:szCs w:val="16"/>
        </w:rPr>
        <w:t>Gráfica 7.4</w:t>
      </w:r>
    </w:p>
    <w:p w14:paraId="6949D1F3" w14:textId="77777777" w:rsidR="00612E7B" w:rsidRPr="00DD006F" w:rsidRDefault="00D32FEF" w:rsidP="00D32FEF">
      <w:pPr>
        <w:spacing w:after="0" w:line="240" w:lineRule="exact"/>
        <w:jc w:val="center"/>
        <w:rPr>
          <w:rFonts w:ascii="GalanoGrotesque-Medium" w:hAnsi="GalanoGrotesque-Medium" w:cs="Arial"/>
          <w:sz w:val="16"/>
          <w:szCs w:val="16"/>
        </w:rPr>
      </w:pPr>
      <w:r w:rsidRPr="00DD006F">
        <w:rPr>
          <w:rFonts w:ascii="GalanoGrotesque-Medium" w:hAnsi="GalanoGrotesque-Medium" w:cs="Arial"/>
          <w:sz w:val="16"/>
          <w:szCs w:val="16"/>
        </w:rPr>
        <w:t>Competitividad urbana, 2012</w:t>
      </w:r>
    </w:p>
    <w:p w14:paraId="50085814" w14:textId="77777777" w:rsidR="00D32FEF" w:rsidRPr="00DD006F" w:rsidRDefault="00D32FEF" w:rsidP="00D32FEF">
      <w:pPr>
        <w:spacing w:after="0" w:line="240" w:lineRule="exact"/>
        <w:jc w:val="center"/>
        <w:rPr>
          <w:rFonts w:ascii="GalanoGrotesque-Medium" w:hAnsi="GalanoGrotesque-Medium" w:cs="Arial"/>
          <w:sz w:val="16"/>
          <w:szCs w:val="16"/>
        </w:rPr>
      </w:pPr>
    </w:p>
    <w:p w14:paraId="6B27DA52" w14:textId="77777777" w:rsidR="00612E7B" w:rsidRPr="001E7327" w:rsidRDefault="00612E7B" w:rsidP="00612E7B">
      <w:pPr>
        <w:jc w:val="center"/>
        <w:rPr>
          <w:rFonts w:ascii="GalanoGrotesque-Medium" w:hAnsi="GalanoGrotesque-Medium" w:cs="Arial"/>
          <w:b/>
        </w:rPr>
      </w:pPr>
      <w:r w:rsidRPr="001E7327">
        <w:rPr>
          <w:rFonts w:ascii="GalanoGrotesque-Medium" w:hAnsi="GalanoGrotesque-Medium"/>
          <w:noProof/>
          <w:lang w:val="es-ES" w:eastAsia="es-ES"/>
        </w:rPr>
        <w:drawing>
          <wp:inline distT="0" distB="0" distL="0" distR="0" wp14:anchorId="09A676B9" wp14:editId="0881AC0B">
            <wp:extent cx="2941955" cy="1543050"/>
            <wp:effectExtent l="0" t="0" r="10795" b="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2EF5A92" w14:textId="77777777" w:rsidR="00612E7B" w:rsidRPr="00D32FEF" w:rsidRDefault="00612E7B" w:rsidP="00B32DC4">
      <w:pPr>
        <w:jc w:val="right"/>
        <w:rPr>
          <w:rFonts w:ascii="MyriadPro-Regular" w:hAnsi="MyriadPro-Regular" w:cs="Arial"/>
          <w:sz w:val="16"/>
          <w:szCs w:val="16"/>
        </w:rPr>
      </w:pPr>
      <w:r w:rsidRPr="00D32FEF">
        <w:rPr>
          <w:rFonts w:ascii="MyriadPro-Regular" w:hAnsi="MyriadPro-Regular" w:cs="Arial"/>
          <w:sz w:val="16"/>
          <w:szCs w:val="16"/>
        </w:rPr>
        <w:t>Fuente: Instituto Mexicano para la Competitividad (IMCO) 2012.</w:t>
      </w:r>
    </w:p>
    <w:p w14:paraId="63728AB3" w14:textId="77777777" w:rsidR="00612E7B" w:rsidRPr="001D48E8" w:rsidRDefault="00612E7B" w:rsidP="00612E7B">
      <w:pPr>
        <w:spacing w:after="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lastRenderedPageBreak/>
        <w:t>Para mejorar la prosperidad urbana, mediante acciones que impulsen su infraestructura y equipamiento y la movilidad de su población, es necesario orientar políticas públicas para reforzar el diseño e instrumentación de programas de ordenamiento ecológico-territorial desde una perspectiva regional.</w:t>
      </w:r>
    </w:p>
    <w:p w14:paraId="3C3FD204" w14:textId="77777777" w:rsidR="00612E7B" w:rsidRPr="00612E7B" w:rsidRDefault="00612E7B" w:rsidP="00612E7B">
      <w:pPr>
        <w:spacing w:after="0"/>
        <w:jc w:val="both"/>
        <w:rPr>
          <w:rFonts w:ascii="GalanoGrotesque-Medium" w:eastAsia="Times New Roman" w:hAnsi="GalanoGrotesque-Medium" w:cs="Arial"/>
          <w:bCs/>
          <w:sz w:val="24"/>
          <w:szCs w:val="24"/>
          <w:lang w:val="es-ES" w:eastAsia="es-ES"/>
        </w:rPr>
      </w:pPr>
    </w:p>
    <w:p w14:paraId="7768A6E3" w14:textId="77777777" w:rsidR="00612E7B" w:rsidRPr="00DD006F" w:rsidRDefault="00612E7B" w:rsidP="00DD006F">
      <w:pPr>
        <w:pStyle w:val="Prrafodelista"/>
        <w:numPr>
          <w:ilvl w:val="0"/>
          <w:numId w:val="26"/>
        </w:numPr>
        <w:spacing w:after="160"/>
        <w:ind w:left="425" w:hanging="425"/>
        <w:rPr>
          <w:rFonts w:ascii="GalanoGrotesque-Medium" w:hAnsi="GalanoGrotesque-Medium" w:cs="Arial"/>
          <w:b/>
          <w:bCs/>
          <w:sz w:val="32"/>
          <w:szCs w:val="28"/>
        </w:rPr>
      </w:pPr>
      <w:r w:rsidRPr="00DD006F">
        <w:rPr>
          <w:rFonts w:ascii="GalanoGrotesque-Medium" w:hAnsi="GalanoGrotesque-Medium" w:cs="Arial"/>
          <w:b/>
        </w:rPr>
        <w:t>Hacia dónde vamos</w:t>
      </w:r>
    </w:p>
    <w:p w14:paraId="04D73E97" w14:textId="77777777" w:rsidR="00612E7B" w:rsidRDefault="00612E7B" w:rsidP="001D48E8">
      <w:pPr>
        <w:spacing w:after="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Será fundamental en esta administración revertir la tasa de deforestación de bosques nativos por cambios de uso de suelo y proteger en forma eficiente la riqueza del Estado en cuanto a biodiversidad y recursos naturales esenciales como el agua. </w:t>
      </w:r>
    </w:p>
    <w:p w14:paraId="5088DE87" w14:textId="77777777" w:rsidR="00D32FEF" w:rsidRPr="001D48E8" w:rsidRDefault="00D32FEF" w:rsidP="001D48E8">
      <w:pPr>
        <w:spacing w:after="0"/>
        <w:jc w:val="both"/>
        <w:rPr>
          <w:rFonts w:ascii="MyriadPro-Regular" w:hAnsi="MyriadPro-Regular" w:cs="MyriadPro-Regular"/>
          <w:color w:val="414142"/>
          <w:sz w:val="20"/>
          <w:szCs w:val="20"/>
        </w:rPr>
      </w:pPr>
    </w:p>
    <w:p w14:paraId="2DCDB94F" w14:textId="77777777" w:rsidR="00612E7B" w:rsidRDefault="00612E7B" w:rsidP="001D48E8">
      <w:pPr>
        <w:spacing w:after="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Michoacán deberá en los próximos años de invertir en forma eficaz en restablecer el equilibrio ecológico y la resiliencia de sus centros de población frente al cambio climático reforzando sus instrumentos de protección civil. Se buscará asimismo desarrollar sus centros de población con el fin de aumentar en forma importante su prosperidad, su competitividad y sobre todo la calidad de vida para sus habitantes. </w:t>
      </w:r>
    </w:p>
    <w:p w14:paraId="484AE47D" w14:textId="77777777" w:rsidR="00D32FEF" w:rsidRPr="001D48E8" w:rsidRDefault="00D32FEF" w:rsidP="001D48E8">
      <w:pPr>
        <w:spacing w:after="0"/>
        <w:jc w:val="both"/>
        <w:rPr>
          <w:rFonts w:ascii="MyriadPro-Regular" w:hAnsi="MyriadPro-Regular" w:cs="MyriadPro-Regular"/>
          <w:color w:val="414142"/>
          <w:sz w:val="20"/>
          <w:szCs w:val="20"/>
        </w:rPr>
      </w:pPr>
    </w:p>
    <w:p w14:paraId="7C2C729D" w14:textId="77777777" w:rsidR="00612E7B" w:rsidRPr="001D48E8" w:rsidRDefault="00612E7B" w:rsidP="001D48E8">
      <w:pPr>
        <w:spacing w:after="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Para lograr lo anterior se plantean los objetivos, líneas estratégicas y acciones que se muestran en la Tabla 7.3.</w:t>
      </w:r>
    </w:p>
    <w:p w14:paraId="5035DDC1" w14:textId="77777777" w:rsidR="00487E5A" w:rsidRDefault="00487E5A" w:rsidP="00487E5A">
      <w:pPr>
        <w:spacing w:after="0"/>
        <w:jc w:val="both"/>
        <w:rPr>
          <w:rFonts w:ascii="GalanoGrotesque-Regular" w:eastAsia="Times New Roman" w:hAnsi="GalanoGrotesque-Regular" w:cs="Arial"/>
          <w:sz w:val="20"/>
          <w:szCs w:val="20"/>
          <w:lang w:val="es-ES" w:eastAsia="es-ES"/>
        </w:rPr>
        <w:sectPr w:rsidR="00487E5A" w:rsidSect="00487E5A">
          <w:footnotePr>
            <w:numStart w:val="4"/>
          </w:footnotePr>
          <w:type w:val="continuous"/>
          <w:pgSz w:w="12240" w:h="15840"/>
          <w:pgMar w:top="1418" w:right="1134" w:bottom="1418" w:left="1134" w:header="709" w:footer="709" w:gutter="0"/>
          <w:cols w:num="2" w:space="567"/>
          <w:docGrid w:linePitch="360"/>
        </w:sectPr>
      </w:pPr>
    </w:p>
    <w:p w14:paraId="3D892488" w14:textId="77777777" w:rsidR="00540A09" w:rsidRDefault="00540A09" w:rsidP="00D32FEF">
      <w:pPr>
        <w:spacing w:after="0" w:line="240" w:lineRule="auto"/>
        <w:jc w:val="center"/>
        <w:rPr>
          <w:rFonts w:ascii="GalanoGrotesque-Medium" w:eastAsia="Times New Roman" w:hAnsi="GalanoGrotesque-Medium" w:cs="Arial"/>
          <w:b/>
          <w:sz w:val="24"/>
          <w:szCs w:val="24"/>
          <w:lang w:val="es-ES" w:eastAsia="es-ES"/>
        </w:rPr>
      </w:pPr>
    </w:p>
    <w:p w14:paraId="393D779F" w14:textId="77777777" w:rsidR="00F32CC0" w:rsidRDefault="00F32CC0" w:rsidP="00D32FEF">
      <w:pPr>
        <w:spacing w:after="0" w:line="240" w:lineRule="auto"/>
        <w:jc w:val="center"/>
        <w:rPr>
          <w:rFonts w:ascii="GalanoGrotesque-Medium" w:eastAsia="Times New Roman" w:hAnsi="GalanoGrotesque-Medium" w:cs="Arial"/>
          <w:b/>
          <w:sz w:val="24"/>
          <w:szCs w:val="24"/>
          <w:lang w:val="es-ES" w:eastAsia="es-ES"/>
        </w:rPr>
      </w:pPr>
    </w:p>
    <w:p w14:paraId="0622EDB3" w14:textId="77777777" w:rsidR="00F32CC0" w:rsidRDefault="00F32CC0" w:rsidP="00D32FEF">
      <w:pPr>
        <w:spacing w:after="0" w:line="240" w:lineRule="auto"/>
        <w:jc w:val="center"/>
        <w:rPr>
          <w:rFonts w:ascii="GalanoGrotesque-Medium" w:eastAsia="Times New Roman" w:hAnsi="GalanoGrotesque-Medium" w:cs="Arial"/>
          <w:b/>
          <w:sz w:val="24"/>
          <w:szCs w:val="24"/>
          <w:lang w:val="es-ES" w:eastAsia="es-ES"/>
        </w:rPr>
      </w:pPr>
    </w:p>
    <w:p w14:paraId="0505A4D4" w14:textId="77777777" w:rsidR="00F32CC0" w:rsidRDefault="00F32CC0" w:rsidP="00D32FEF">
      <w:pPr>
        <w:spacing w:after="0" w:line="240" w:lineRule="auto"/>
        <w:jc w:val="center"/>
        <w:rPr>
          <w:rFonts w:ascii="GalanoGrotesque-Medium" w:eastAsia="Times New Roman" w:hAnsi="GalanoGrotesque-Medium" w:cs="Arial"/>
          <w:b/>
          <w:sz w:val="24"/>
          <w:szCs w:val="24"/>
          <w:lang w:val="es-ES" w:eastAsia="es-ES"/>
        </w:rPr>
      </w:pPr>
    </w:p>
    <w:p w14:paraId="4491005A" w14:textId="77777777" w:rsidR="00F32CC0" w:rsidRDefault="00F32CC0" w:rsidP="00D32FEF">
      <w:pPr>
        <w:spacing w:after="0" w:line="240" w:lineRule="auto"/>
        <w:jc w:val="center"/>
        <w:rPr>
          <w:rFonts w:ascii="GalanoGrotesque-Medium" w:eastAsia="Times New Roman" w:hAnsi="GalanoGrotesque-Medium" w:cs="Arial"/>
          <w:b/>
          <w:sz w:val="24"/>
          <w:szCs w:val="24"/>
          <w:lang w:val="es-ES" w:eastAsia="es-ES"/>
        </w:rPr>
      </w:pPr>
    </w:p>
    <w:p w14:paraId="09C76466" w14:textId="77777777" w:rsidR="00F32CC0" w:rsidRDefault="00F32CC0" w:rsidP="00D32FEF">
      <w:pPr>
        <w:spacing w:after="0" w:line="240" w:lineRule="auto"/>
        <w:jc w:val="center"/>
        <w:rPr>
          <w:rFonts w:ascii="GalanoGrotesque-Medium" w:eastAsia="Times New Roman" w:hAnsi="GalanoGrotesque-Medium" w:cs="Arial"/>
          <w:b/>
          <w:sz w:val="24"/>
          <w:szCs w:val="24"/>
          <w:lang w:val="es-ES" w:eastAsia="es-ES"/>
        </w:rPr>
      </w:pPr>
    </w:p>
    <w:p w14:paraId="41635F84" w14:textId="77777777" w:rsidR="00F32CC0" w:rsidRDefault="00F32CC0" w:rsidP="00D32FEF">
      <w:pPr>
        <w:spacing w:after="0" w:line="240" w:lineRule="auto"/>
        <w:jc w:val="center"/>
        <w:rPr>
          <w:rFonts w:ascii="GalanoGrotesque-Medium" w:eastAsia="Times New Roman" w:hAnsi="GalanoGrotesque-Medium" w:cs="Arial"/>
          <w:b/>
          <w:sz w:val="24"/>
          <w:szCs w:val="24"/>
          <w:lang w:val="es-ES" w:eastAsia="es-ES"/>
        </w:rPr>
      </w:pPr>
    </w:p>
    <w:p w14:paraId="1C542937" w14:textId="77777777" w:rsidR="00F32CC0" w:rsidRDefault="00F32CC0" w:rsidP="00D32FEF">
      <w:pPr>
        <w:spacing w:after="0" w:line="240" w:lineRule="auto"/>
        <w:jc w:val="center"/>
        <w:rPr>
          <w:rFonts w:ascii="GalanoGrotesque-Medium" w:eastAsia="Times New Roman" w:hAnsi="GalanoGrotesque-Medium" w:cs="Arial"/>
          <w:b/>
          <w:sz w:val="24"/>
          <w:szCs w:val="24"/>
          <w:lang w:val="es-ES" w:eastAsia="es-ES"/>
        </w:rPr>
      </w:pPr>
    </w:p>
    <w:p w14:paraId="63BDE9C9" w14:textId="77777777" w:rsidR="00F32CC0" w:rsidRDefault="00F32CC0" w:rsidP="00D32FEF">
      <w:pPr>
        <w:spacing w:after="0" w:line="240" w:lineRule="auto"/>
        <w:jc w:val="center"/>
        <w:rPr>
          <w:rFonts w:ascii="GalanoGrotesque-Medium" w:eastAsia="Times New Roman" w:hAnsi="GalanoGrotesque-Medium" w:cs="Arial"/>
          <w:b/>
          <w:sz w:val="24"/>
          <w:szCs w:val="24"/>
          <w:lang w:val="es-ES" w:eastAsia="es-ES"/>
        </w:rPr>
      </w:pPr>
    </w:p>
    <w:p w14:paraId="07BEB6D0" w14:textId="77777777" w:rsidR="00F32CC0" w:rsidRDefault="00F32CC0" w:rsidP="00D32FEF">
      <w:pPr>
        <w:spacing w:after="0" w:line="240" w:lineRule="auto"/>
        <w:jc w:val="center"/>
        <w:rPr>
          <w:rFonts w:ascii="GalanoGrotesque-Medium" w:eastAsia="Times New Roman" w:hAnsi="GalanoGrotesque-Medium" w:cs="Arial"/>
          <w:b/>
          <w:sz w:val="24"/>
          <w:szCs w:val="24"/>
          <w:lang w:val="es-ES" w:eastAsia="es-ES"/>
        </w:rPr>
      </w:pPr>
    </w:p>
    <w:p w14:paraId="3A780787" w14:textId="77777777" w:rsidR="00F32CC0" w:rsidRDefault="00F32CC0" w:rsidP="00D32FEF">
      <w:pPr>
        <w:spacing w:after="0" w:line="240" w:lineRule="auto"/>
        <w:jc w:val="center"/>
        <w:rPr>
          <w:rFonts w:ascii="GalanoGrotesque-Medium" w:eastAsia="Times New Roman" w:hAnsi="GalanoGrotesque-Medium" w:cs="Arial"/>
          <w:b/>
          <w:sz w:val="24"/>
          <w:szCs w:val="24"/>
          <w:lang w:val="es-ES" w:eastAsia="es-ES"/>
        </w:rPr>
      </w:pPr>
    </w:p>
    <w:p w14:paraId="1CADF3D9" w14:textId="77777777" w:rsidR="00F32CC0" w:rsidRDefault="00F32CC0" w:rsidP="00D32FEF">
      <w:pPr>
        <w:spacing w:after="0" w:line="240" w:lineRule="auto"/>
        <w:jc w:val="center"/>
        <w:rPr>
          <w:rFonts w:ascii="GalanoGrotesque-Medium" w:eastAsia="Times New Roman" w:hAnsi="GalanoGrotesque-Medium" w:cs="Arial"/>
          <w:b/>
          <w:sz w:val="24"/>
          <w:szCs w:val="24"/>
          <w:lang w:val="es-ES" w:eastAsia="es-ES"/>
        </w:rPr>
      </w:pPr>
    </w:p>
    <w:p w14:paraId="514B5311" w14:textId="77777777" w:rsidR="00612E7B" w:rsidRPr="00E218F4" w:rsidRDefault="00612E7B" w:rsidP="00D32FEF">
      <w:pPr>
        <w:spacing w:after="0" w:line="240" w:lineRule="auto"/>
        <w:jc w:val="center"/>
        <w:rPr>
          <w:rFonts w:ascii="MyriadPro-Regular" w:eastAsia="Times New Roman" w:hAnsi="MyriadPro-Regular" w:cs="Times New Roman"/>
          <w:b/>
          <w:color w:val="000000" w:themeColor="text1"/>
          <w:sz w:val="20"/>
          <w:szCs w:val="20"/>
          <w:lang w:val="es-ES" w:eastAsia="es-ES"/>
        </w:rPr>
      </w:pPr>
      <w:r w:rsidRPr="00E218F4">
        <w:rPr>
          <w:rFonts w:ascii="MyriadPro-Regular" w:eastAsia="Times New Roman" w:hAnsi="MyriadPro-Regular" w:cs="Times New Roman"/>
          <w:b/>
          <w:color w:val="000000" w:themeColor="text1"/>
          <w:sz w:val="20"/>
          <w:szCs w:val="20"/>
          <w:lang w:val="es-ES" w:eastAsia="es-ES"/>
        </w:rPr>
        <w:t>Tabla 7.3</w:t>
      </w:r>
    </w:p>
    <w:p w14:paraId="51BE8EF6" w14:textId="77777777" w:rsidR="00540A09" w:rsidRPr="00E218F4" w:rsidRDefault="00612E7B" w:rsidP="00DD006F">
      <w:pPr>
        <w:spacing w:after="160" w:line="240" w:lineRule="auto"/>
        <w:jc w:val="center"/>
        <w:rPr>
          <w:rFonts w:ascii="MyriadPro-Regular" w:eastAsia="Times New Roman" w:hAnsi="MyriadPro-Regular" w:cs="Times New Roman"/>
          <w:b/>
          <w:color w:val="000000" w:themeColor="text1"/>
          <w:sz w:val="20"/>
          <w:szCs w:val="20"/>
          <w:lang w:val="es-ES" w:eastAsia="es-ES"/>
        </w:rPr>
      </w:pPr>
      <w:r w:rsidRPr="00E218F4">
        <w:rPr>
          <w:rFonts w:ascii="MyriadPro-Regular" w:eastAsia="Times New Roman" w:hAnsi="MyriadPro-Regular" w:cs="Times New Roman"/>
          <w:b/>
          <w:color w:val="000000" w:themeColor="text1"/>
          <w:sz w:val="20"/>
          <w:szCs w:val="20"/>
          <w:lang w:val="es-ES" w:eastAsia="es-ES"/>
        </w:rPr>
        <w:t>Objetivos, Líneas Estratégicas y Acciones</w:t>
      </w:r>
    </w:p>
    <w:tbl>
      <w:tblPr>
        <w:tblStyle w:val="Tablaconcuadrcula"/>
        <w:tblW w:w="9072" w:type="dxa"/>
        <w:jc w:val="center"/>
        <w:tblLook w:val="04A0" w:firstRow="1" w:lastRow="0" w:firstColumn="1" w:lastColumn="0" w:noHBand="0" w:noVBand="1"/>
      </w:tblPr>
      <w:tblGrid>
        <w:gridCol w:w="9072"/>
      </w:tblGrid>
      <w:tr w:rsidR="00612E7B" w:rsidRPr="00E218F4" w14:paraId="2FAFFA2C" w14:textId="77777777" w:rsidTr="00540A09">
        <w:trPr>
          <w:jc w:val="center"/>
        </w:trPr>
        <w:tc>
          <w:tcPr>
            <w:tcW w:w="9072" w:type="dxa"/>
            <w:shd w:val="clear" w:color="auto" w:fill="92D050"/>
          </w:tcPr>
          <w:p w14:paraId="167F60C4"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mc:AlternateContent>
                <mc:Choice Requires="wpg">
                  <w:drawing>
                    <wp:anchor distT="0" distB="0" distL="114300" distR="114300" simplePos="0" relativeHeight="251749888" behindDoc="0" locked="0" layoutInCell="1" allowOverlap="1" wp14:anchorId="7E1051D3" wp14:editId="53201419">
                      <wp:simplePos x="0" y="0"/>
                      <wp:positionH relativeFrom="column">
                        <wp:posOffset>-8129270</wp:posOffset>
                      </wp:positionH>
                      <wp:positionV relativeFrom="paragraph">
                        <wp:posOffset>5264785</wp:posOffset>
                      </wp:positionV>
                      <wp:extent cx="6959600" cy="791845"/>
                      <wp:effectExtent l="0" t="19050" r="50800" b="65405"/>
                      <wp:wrapNone/>
                      <wp:docPr id="7577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0" cy="791845"/>
                                <a:chOff x="14057" y="10683"/>
                                <a:chExt cx="8146" cy="1247"/>
                              </a:xfrm>
                            </wpg:grpSpPr>
                            <wps:wsp>
                              <wps:cNvPr id="75780" name="AutoShape 7"/>
                              <wps:cNvSpPr>
                                <a:spLocks noChangeArrowheads="1"/>
                              </wps:cNvSpPr>
                              <wps:spPr bwMode="auto">
                                <a:xfrm>
                                  <a:off x="14057" y="10683"/>
                                  <a:ext cx="8146" cy="1247"/>
                                </a:xfrm>
                                <a:prstGeom prst="rightArrow">
                                  <a:avLst>
                                    <a:gd name="adj1" fmla="val 58620"/>
                                    <a:gd name="adj2" fmla="val 78753"/>
                                  </a:avLst>
                                </a:prstGeom>
                                <a:gradFill rotWithShape="0">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wps:wsp>
                              <wps:cNvPr id="75781" name="Text Box 51"/>
                              <wps:cNvSpPr txBox="1">
                                <a:spLocks noChangeArrowheads="1"/>
                              </wps:cNvSpPr>
                              <wps:spPr bwMode="auto">
                                <a:xfrm>
                                  <a:off x="14720" y="10940"/>
                                  <a:ext cx="5842"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6F138" w14:textId="77777777" w:rsidR="00082EBA" w:rsidRPr="000C1C16" w:rsidRDefault="00082EBA" w:rsidP="00612E7B">
                                    <w:pPr>
                                      <w:rPr>
                                        <w:b/>
                                        <w:color w:val="FFFF00"/>
                                        <w:sz w:val="40"/>
                                      </w:rPr>
                                    </w:pPr>
                                    <w:r w:rsidRPr="000C1C16">
                                      <w:rPr>
                                        <w:b/>
                                        <w:color w:val="FFFF00"/>
                                        <w:sz w:val="40"/>
                                      </w:rPr>
                                      <w:t>Agrava Significativamente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051D3" id="_x0000_s1046" style="position:absolute;margin-left:-640.1pt;margin-top:414.55pt;width:548pt;height:62.35pt;z-index:251749888;mso-position-horizontal-relative:text;mso-position-vertical-relative:text" coordorigin="14057,10683" coordsize="8146,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">
                      <v:shape id="AutoShape 7" o:spid="_x0000_s1047" type="#_x0000_t13" style="position:absolute;left:14057;top:10683;width:8146;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FTsUA&#10;AADeAAAADwAAAGRycy9kb3ducmV2LnhtbESPy4rCMBSG98K8QzgDbmRMHfBCNcpYRnDrheLsDs2x&#10;7dic1CbW+vZmIbj8+W98i1VnKtFS40rLCkbDCARxZnXJuYLjYfM1A+E8ssbKMil4kIPV8qO3wFjb&#10;O++o3ftchBF2MSoovK9jKV1WkEE3tDVx8M62MeiDbHKpG7yHcVPJ7yiaSIMlh4cCa0oKyi77m1GQ&#10;DsrudPpfp779GyVJev29VOlRqf5n9zMH4anz7/CrvdUKpuPpLAAEnIA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VOxQAAAN4AAAAPAAAAAAAAAAAAAAAAAJgCAABkcnMv&#10;ZG93bnJldi54bWxQSwUGAAAAAAQABAD1AAAAigMAAAAA&#10;" adj="18996,4469" fillcolor="#95b3d7" strokecolor="#4f81bd" strokeweight="1pt">
                        <v:fill color2="#4f81bd" focus="50%" type="gradient"/>
                        <v:shadow on="t" color="#243f60" offset="1pt"/>
                      </v:shape>
                      <v:shape id="Text Box 51" o:spid="_x0000_s1048" type="#_x0000_t202" style="position:absolute;left:14720;top:10940;width:5842;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4MjcYA&#10;AADeAAAADwAAAGRycy9kb3ducmV2LnhtbESPT2sCMRTE74LfITzBmyaKVrtuFFEKPVWqttDbY/P2&#10;D25elk3qbr99IxR6HGbmN0y6620t7tT6yrGG2VSBIM6cqbjQcL28TNYgfEA2WDsmDT/kYbcdDlJM&#10;jOv4ne7nUIgIYZ+ghjKEJpHSZyVZ9FPXEEcvd63FEGVbSNNiF+G2lnOlnqTFiuNCiQ0dSspu52+r&#10;4eMt//pcqFNxtMumc72SbJ+l1uNRv9+ACNSH//Bf+9VoWC1X6xk87sQr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4MjcYAAADeAAAADwAAAAAAAAAAAAAAAACYAgAAZHJz&#10;L2Rvd25yZXYueG1sUEsFBgAAAAAEAAQA9QAAAIsDAAAAAA==&#10;" filled="f" stroked="f">
                        <v:textbox>
                          <w:txbxContent>
                            <w:p w14:paraId="3A26F138" w14:textId="77777777" w:rsidR="00082EBA" w:rsidRPr="000C1C16" w:rsidRDefault="00082EBA" w:rsidP="00612E7B">
                              <w:pPr>
                                <w:rPr>
                                  <w:b/>
                                  <w:color w:val="FFFF00"/>
                                  <w:sz w:val="40"/>
                                </w:rPr>
                              </w:pPr>
                              <w:r w:rsidRPr="000C1C16">
                                <w:rPr>
                                  <w:b/>
                                  <w:color w:val="FFFF00"/>
                                  <w:sz w:val="40"/>
                                </w:rPr>
                                <w:t>Agrava Significativamente</w:t>
                              </w:r>
                            </w:p>
                          </w:txbxContent>
                        </v:textbox>
                      </v:shape>
                    </v:group>
                  </w:pict>
                </mc:Fallback>
              </mc:AlternateContent>
            </w:r>
            <w:r w:rsidRPr="00E218F4">
              <w:rPr>
                <w:rFonts w:ascii="MyriadPro-Regular" w:hAnsi="MyriadPro-Regular"/>
                <w:color w:val="000000" w:themeColor="text1"/>
                <w:lang w:val="es-ES" w:eastAsia="es-ES"/>
              </w:rPr>
              <w:t>Prioridad 7: Sustentabilidad Ambiental, Resiliencia y Prosperidad Urbana.</w:t>
            </w:r>
          </w:p>
        </w:tc>
      </w:tr>
      <w:tr w:rsidR="00612E7B" w:rsidRPr="00E218F4" w14:paraId="3677EA8F" w14:textId="77777777" w:rsidTr="00540A09">
        <w:trPr>
          <w:jc w:val="center"/>
        </w:trPr>
        <w:tc>
          <w:tcPr>
            <w:tcW w:w="9072" w:type="dxa"/>
            <w:shd w:val="clear" w:color="auto" w:fill="92D050"/>
          </w:tcPr>
          <w:p w14:paraId="0D1D41F4"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Objetivo</w:t>
            </w:r>
          </w:p>
        </w:tc>
      </w:tr>
      <w:tr w:rsidR="00612E7B" w:rsidRPr="00E218F4" w14:paraId="6D3191A6" w14:textId="77777777" w:rsidTr="00540A09">
        <w:trPr>
          <w:jc w:val="center"/>
        </w:trPr>
        <w:tc>
          <w:tcPr>
            <w:tcW w:w="9072" w:type="dxa"/>
            <w:shd w:val="clear" w:color="auto" w:fill="auto"/>
          </w:tcPr>
          <w:p w14:paraId="316E3D47" w14:textId="77777777" w:rsidR="00612E7B" w:rsidRPr="00E218F4" w:rsidRDefault="00612E7B" w:rsidP="00612E7B">
            <w:pPr>
              <w:ind w:left="346" w:hanging="346"/>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 Desarrollar actividades productivas, económicas y recreativas en armonía con el ambiente para lograr un desarrollo sustentable.</w:t>
            </w:r>
          </w:p>
        </w:tc>
      </w:tr>
      <w:tr w:rsidR="00612E7B" w:rsidRPr="00E218F4" w14:paraId="19B02AD6" w14:textId="77777777" w:rsidTr="00540A09">
        <w:trPr>
          <w:jc w:val="center"/>
        </w:trPr>
        <w:tc>
          <w:tcPr>
            <w:tcW w:w="9072" w:type="dxa"/>
            <w:shd w:val="clear" w:color="auto" w:fill="92D050"/>
          </w:tcPr>
          <w:p w14:paraId="21AD8ABD" w14:textId="77777777" w:rsidR="00612E7B" w:rsidRPr="00E218F4" w:rsidRDefault="00612E7B" w:rsidP="00612E7B">
            <w:pPr>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Línea estratégica</w:t>
            </w:r>
          </w:p>
        </w:tc>
      </w:tr>
      <w:tr w:rsidR="00612E7B" w:rsidRPr="00E218F4" w14:paraId="258DA396" w14:textId="77777777" w:rsidTr="00540A09">
        <w:trPr>
          <w:jc w:val="center"/>
        </w:trPr>
        <w:tc>
          <w:tcPr>
            <w:tcW w:w="9072" w:type="dxa"/>
            <w:shd w:val="clear" w:color="auto" w:fill="auto"/>
          </w:tcPr>
          <w:p w14:paraId="166813BC" w14:textId="77777777" w:rsidR="00612E7B" w:rsidRPr="00E218F4" w:rsidRDefault="00612E7B" w:rsidP="00612E7B">
            <w:pPr>
              <w:ind w:left="1055" w:hanging="568"/>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7.1.1 Establecer el compromiso de la conservación y el uso responsable de los recursos naturales.</w:t>
            </w:r>
          </w:p>
          <w:p w14:paraId="31C9CB6B" w14:textId="77777777" w:rsidR="00612E7B" w:rsidRPr="00E218F4" w:rsidRDefault="00612E7B" w:rsidP="00612E7B">
            <w:pPr>
              <w:ind w:left="1055" w:hanging="568"/>
              <w:jc w:val="both"/>
              <w:rPr>
                <w:rFonts w:ascii="MyriadPro-Regular" w:hAnsi="MyriadPro-Regular"/>
                <w:color w:val="000000" w:themeColor="text1"/>
                <w:lang w:val="es-ES" w:eastAsia="es-ES"/>
              </w:rPr>
            </w:pPr>
          </w:p>
        </w:tc>
      </w:tr>
      <w:tr w:rsidR="00612E7B" w:rsidRPr="00E218F4" w14:paraId="5C163A0A" w14:textId="77777777" w:rsidTr="00540A09">
        <w:trPr>
          <w:jc w:val="center"/>
        </w:trPr>
        <w:tc>
          <w:tcPr>
            <w:tcW w:w="9072" w:type="dxa"/>
            <w:shd w:val="clear" w:color="auto" w:fill="92D050"/>
          </w:tcPr>
          <w:p w14:paraId="45C9718E"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Acciones</w:t>
            </w:r>
          </w:p>
        </w:tc>
      </w:tr>
      <w:tr w:rsidR="00612E7B" w:rsidRPr="00E218F4" w14:paraId="0C7A9683" w14:textId="77777777" w:rsidTr="00540A09">
        <w:trPr>
          <w:jc w:val="center"/>
        </w:trPr>
        <w:tc>
          <w:tcPr>
            <w:tcW w:w="9072" w:type="dxa"/>
            <w:shd w:val="clear" w:color="auto" w:fill="auto"/>
          </w:tcPr>
          <w:p w14:paraId="5BBD6939"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7.1.1.1 Instrumentar un amplio programa de pago por servicios ambientales con el fin de restablecer las principales cuencas y ecosistemas del Estado.</w:t>
            </w:r>
          </w:p>
        </w:tc>
      </w:tr>
      <w:tr w:rsidR="00612E7B" w:rsidRPr="00E218F4" w14:paraId="7AA076E1" w14:textId="77777777" w:rsidTr="00540A09">
        <w:trPr>
          <w:jc w:val="center"/>
        </w:trPr>
        <w:tc>
          <w:tcPr>
            <w:tcW w:w="9072" w:type="dxa"/>
            <w:shd w:val="clear" w:color="auto" w:fill="auto"/>
          </w:tcPr>
          <w:p w14:paraId="55ECDB28"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7.1.1.2 Promover la educación ambiental y la participación ciudadana en la conservación de los recursos naturales.</w:t>
            </w:r>
          </w:p>
        </w:tc>
      </w:tr>
      <w:tr w:rsidR="00612E7B" w:rsidRPr="00E218F4" w14:paraId="2FE778E8" w14:textId="77777777" w:rsidTr="00540A09">
        <w:trPr>
          <w:jc w:val="center"/>
        </w:trPr>
        <w:tc>
          <w:tcPr>
            <w:tcW w:w="9072" w:type="dxa"/>
            <w:shd w:val="clear" w:color="auto" w:fill="auto"/>
          </w:tcPr>
          <w:p w14:paraId="78FD7E69"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7.1.1.3 Fomentar una cultura de tenencia responsable de los animales de compañía y de respeto al medio ambiente.</w:t>
            </w:r>
          </w:p>
        </w:tc>
      </w:tr>
      <w:tr w:rsidR="00612E7B" w:rsidRPr="00E218F4" w14:paraId="14975B67" w14:textId="77777777" w:rsidTr="00540A09">
        <w:trPr>
          <w:jc w:val="center"/>
        </w:trPr>
        <w:tc>
          <w:tcPr>
            <w:tcW w:w="9072" w:type="dxa"/>
            <w:shd w:val="clear" w:color="auto" w:fill="92D050"/>
          </w:tcPr>
          <w:p w14:paraId="5E16325F"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Línea estratégica </w:t>
            </w:r>
          </w:p>
        </w:tc>
      </w:tr>
      <w:tr w:rsidR="00612E7B" w:rsidRPr="00E218F4" w14:paraId="7189D811" w14:textId="77777777" w:rsidTr="00540A09">
        <w:trPr>
          <w:jc w:val="center"/>
        </w:trPr>
        <w:tc>
          <w:tcPr>
            <w:tcW w:w="9072" w:type="dxa"/>
            <w:shd w:val="clear" w:color="auto" w:fill="auto"/>
          </w:tcPr>
          <w:p w14:paraId="0D9A3FAF" w14:textId="77777777" w:rsidR="00612E7B" w:rsidRPr="00E218F4" w:rsidRDefault="00612E7B" w:rsidP="00612E7B">
            <w:pPr>
              <w:ind w:left="487"/>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7.1.2 Crear sinergia institucional.</w:t>
            </w:r>
          </w:p>
        </w:tc>
      </w:tr>
      <w:tr w:rsidR="00612E7B" w:rsidRPr="00E218F4" w14:paraId="4BC3C275" w14:textId="77777777" w:rsidTr="00540A09">
        <w:trPr>
          <w:jc w:val="center"/>
        </w:trPr>
        <w:tc>
          <w:tcPr>
            <w:tcW w:w="9072" w:type="dxa"/>
            <w:shd w:val="clear" w:color="auto" w:fill="92D050"/>
          </w:tcPr>
          <w:p w14:paraId="5032E68E"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Acciones</w:t>
            </w:r>
          </w:p>
        </w:tc>
      </w:tr>
      <w:tr w:rsidR="00612E7B" w:rsidRPr="00E218F4" w14:paraId="382CD2AF" w14:textId="77777777" w:rsidTr="00540A09">
        <w:trPr>
          <w:jc w:val="center"/>
        </w:trPr>
        <w:tc>
          <w:tcPr>
            <w:tcW w:w="9072" w:type="dxa"/>
            <w:shd w:val="clear" w:color="auto" w:fill="auto"/>
          </w:tcPr>
          <w:p w14:paraId="3007D96C"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7.1.2.1 Consolidar la coordinación interinstitucional para la política ambiental.</w:t>
            </w:r>
          </w:p>
        </w:tc>
      </w:tr>
      <w:tr w:rsidR="00612E7B" w:rsidRPr="00E218F4" w14:paraId="2661116A" w14:textId="77777777" w:rsidTr="00540A09">
        <w:trPr>
          <w:jc w:val="center"/>
        </w:trPr>
        <w:tc>
          <w:tcPr>
            <w:tcW w:w="9072" w:type="dxa"/>
            <w:shd w:val="clear" w:color="auto" w:fill="auto"/>
          </w:tcPr>
          <w:p w14:paraId="2A9B643C"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7.1.2.2 Respaldar a los Ayuntamientos en el cuidado del medio ambiente y desarrollar actividades sustentables para la promoción del turismo ecológico y de aventura.</w:t>
            </w:r>
          </w:p>
        </w:tc>
      </w:tr>
      <w:tr w:rsidR="00612E7B" w:rsidRPr="00E218F4" w14:paraId="2EAF6120" w14:textId="77777777" w:rsidTr="00540A09">
        <w:trPr>
          <w:jc w:val="center"/>
        </w:trPr>
        <w:tc>
          <w:tcPr>
            <w:tcW w:w="9072" w:type="dxa"/>
            <w:shd w:val="clear" w:color="auto" w:fill="auto"/>
          </w:tcPr>
          <w:p w14:paraId="74E5CB26" w14:textId="77777777" w:rsidR="00612E7B" w:rsidRPr="00E218F4" w:rsidRDefault="00612E7B" w:rsidP="00612E7B">
            <w:pPr>
              <w:ind w:left="2019" w:hanging="850"/>
              <w:contextualSpacing/>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7.1.2.3 Instrumentar el mando único para la inspección y vigilancia forestal y protección al medio ambiente y de la policía ambiental de manera interinstitucional.</w:t>
            </w:r>
          </w:p>
        </w:tc>
      </w:tr>
      <w:tr w:rsidR="00612E7B" w:rsidRPr="00E218F4" w14:paraId="0C33F07F" w14:textId="77777777" w:rsidTr="00540A09">
        <w:trPr>
          <w:jc w:val="center"/>
        </w:trPr>
        <w:tc>
          <w:tcPr>
            <w:tcW w:w="9072" w:type="dxa"/>
            <w:shd w:val="clear" w:color="auto" w:fill="auto"/>
          </w:tcPr>
          <w:p w14:paraId="192DC6E5" w14:textId="77777777" w:rsidR="00612E7B" w:rsidRPr="00E218F4" w:rsidRDefault="00612E7B" w:rsidP="00612E7B">
            <w:pPr>
              <w:ind w:left="2019" w:hanging="850"/>
              <w:contextualSpacing/>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7.1.2.4 Trabajar junto con la federación en la conservación de las Áreas Naturales Protegidas de Michoacán.</w:t>
            </w:r>
          </w:p>
        </w:tc>
      </w:tr>
      <w:tr w:rsidR="00612E7B" w:rsidRPr="00E218F4" w14:paraId="2B61554F" w14:textId="77777777" w:rsidTr="00540A09">
        <w:trPr>
          <w:jc w:val="center"/>
        </w:trPr>
        <w:tc>
          <w:tcPr>
            <w:tcW w:w="9072" w:type="dxa"/>
            <w:shd w:val="clear" w:color="auto" w:fill="auto"/>
          </w:tcPr>
          <w:p w14:paraId="3F9DFF8B"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7.1.2.5 Promover y actualizar los programas de ordenamiento ecológico territorial: estatal, regionales y municipales.</w:t>
            </w:r>
          </w:p>
        </w:tc>
      </w:tr>
      <w:tr w:rsidR="00612E7B" w:rsidRPr="00E218F4" w14:paraId="7007D39A" w14:textId="77777777" w:rsidTr="00540A09">
        <w:trPr>
          <w:jc w:val="center"/>
        </w:trPr>
        <w:tc>
          <w:tcPr>
            <w:tcW w:w="9072" w:type="dxa"/>
            <w:shd w:val="clear" w:color="auto" w:fill="auto"/>
          </w:tcPr>
          <w:p w14:paraId="50127B0F"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7.1.2.6 Crear un ordenamiento pesquero y acuícola. </w:t>
            </w:r>
          </w:p>
        </w:tc>
      </w:tr>
      <w:tr w:rsidR="00612E7B" w:rsidRPr="00E218F4" w14:paraId="778DE68A" w14:textId="77777777" w:rsidTr="00540A09">
        <w:trPr>
          <w:jc w:val="center"/>
        </w:trPr>
        <w:tc>
          <w:tcPr>
            <w:tcW w:w="9072" w:type="dxa"/>
            <w:shd w:val="clear" w:color="auto" w:fill="auto"/>
          </w:tcPr>
          <w:p w14:paraId="774D9D06"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7.1.2.7 Fortalecer la infraestructura y operación de sitios de disposición final de residuos sólidos urbanos y de manejo especial promoviendo esquemas intermunicipales de disposición final, privilegiando la Reducción, Reutilización y el Reciclaje.</w:t>
            </w:r>
          </w:p>
        </w:tc>
      </w:tr>
      <w:tr w:rsidR="00612E7B" w:rsidRPr="00E218F4" w14:paraId="2DACEBAB" w14:textId="77777777" w:rsidTr="00540A09">
        <w:trPr>
          <w:jc w:val="center"/>
        </w:trPr>
        <w:tc>
          <w:tcPr>
            <w:tcW w:w="9072" w:type="dxa"/>
            <w:shd w:val="clear" w:color="auto" w:fill="92D050"/>
          </w:tcPr>
          <w:p w14:paraId="19D2239D"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Línea estratégica </w:t>
            </w:r>
          </w:p>
        </w:tc>
      </w:tr>
      <w:tr w:rsidR="00612E7B" w:rsidRPr="00E218F4" w14:paraId="0734A043" w14:textId="77777777" w:rsidTr="00540A09">
        <w:trPr>
          <w:jc w:val="center"/>
        </w:trPr>
        <w:tc>
          <w:tcPr>
            <w:tcW w:w="9072" w:type="dxa"/>
            <w:shd w:val="clear" w:color="auto" w:fill="auto"/>
          </w:tcPr>
          <w:p w14:paraId="5DD9CA59" w14:textId="77777777" w:rsidR="00612E7B" w:rsidRPr="00E218F4" w:rsidRDefault="00612E7B" w:rsidP="00612E7B">
            <w:pPr>
              <w:ind w:left="1055" w:hanging="568"/>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7.1.3 Fortalecer el aprovechamiento sustentable del patrimonio natural y su restauración.</w:t>
            </w:r>
          </w:p>
        </w:tc>
      </w:tr>
      <w:tr w:rsidR="00612E7B" w:rsidRPr="00E218F4" w14:paraId="348F90DE" w14:textId="77777777" w:rsidTr="00540A09">
        <w:trPr>
          <w:jc w:val="center"/>
        </w:trPr>
        <w:tc>
          <w:tcPr>
            <w:tcW w:w="9072" w:type="dxa"/>
            <w:shd w:val="clear" w:color="auto" w:fill="92D050"/>
          </w:tcPr>
          <w:p w14:paraId="08F4DB59"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Acciones </w:t>
            </w:r>
          </w:p>
        </w:tc>
      </w:tr>
      <w:tr w:rsidR="00612E7B" w:rsidRPr="00E218F4" w14:paraId="02AD81FF" w14:textId="77777777" w:rsidTr="00540A09">
        <w:trPr>
          <w:jc w:val="center"/>
        </w:trPr>
        <w:tc>
          <w:tcPr>
            <w:tcW w:w="9072" w:type="dxa"/>
            <w:shd w:val="clear" w:color="auto" w:fill="auto"/>
          </w:tcPr>
          <w:p w14:paraId="02B55C95"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7.1.3.1 Actualizar el estudio del estado de la biodiversidad e  implementar la Estrategia para la Conservación y Uso Sustentable de la Diversidad Biológica de la Entidad.</w:t>
            </w:r>
          </w:p>
        </w:tc>
      </w:tr>
      <w:tr w:rsidR="00612E7B" w:rsidRPr="00E218F4" w14:paraId="7AD24293" w14:textId="77777777" w:rsidTr="00540A09">
        <w:trPr>
          <w:jc w:val="center"/>
        </w:trPr>
        <w:tc>
          <w:tcPr>
            <w:tcW w:w="9072" w:type="dxa"/>
            <w:shd w:val="clear" w:color="auto" w:fill="auto"/>
          </w:tcPr>
          <w:p w14:paraId="5560BA27"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7.1.3.2 Mejorar la protección y la infraestructura de servicios de las Áreas para la Conservación de Patrimonio Natural (ACPN).</w:t>
            </w:r>
          </w:p>
        </w:tc>
      </w:tr>
      <w:tr w:rsidR="00612E7B" w:rsidRPr="00E218F4" w14:paraId="1280A001" w14:textId="77777777" w:rsidTr="00540A09">
        <w:trPr>
          <w:jc w:val="center"/>
        </w:trPr>
        <w:tc>
          <w:tcPr>
            <w:tcW w:w="9072" w:type="dxa"/>
            <w:shd w:val="clear" w:color="auto" w:fill="auto"/>
          </w:tcPr>
          <w:p w14:paraId="6F5106D9"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7.1.3.3 Promover el ecoturismo, responsable y asequible.</w:t>
            </w:r>
          </w:p>
        </w:tc>
      </w:tr>
      <w:tr w:rsidR="00612E7B" w:rsidRPr="00E218F4" w14:paraId="37EB9395" w14:textId="77777777" w:rsidTr="00540A09">
        <w:trPr>
          <w:jc w:val="center"/>
        </w:trPr>
        <w:tc>
          <w:tcPr>
            <w:tcW w:w="9072" w:type="dxa"/>
            <w:shd w:val="clear" w:color="auto" w:fill="auto"/>
          </w:tcPr>
          <w:p w14:paraId="6B8712DD"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7.1.3.4 Transitar hacia modelos agroforestales sustentables, sistemas </w:t>
            </w:r>
            <w:proofErr w:type="spellStart"/>
            <w:r w:rsidRPr="00E218F4">
              <w:rPr>
                <w:rFonts w:ascii="MyriadPro-Regular" w:hAnsi="MyriadPro-Regular"/>
                <w:color w:val="000000" w:themeColor="text1"/>
                <w:lang w:val="es-ES" w:eastAsia="es-ES"/>
              </w:rPr>
              <w:t>silvopastoriles</w:t>
            </w:r>
            <w:proofErr w:type="spellEnd"/>
            <w:r w:rsidRPr="00E218F4">
              <w:rPr>
                <w:rFonts w:ascii="MyriadPro-Regular" w:hAnsi="MyriadPro-Regular"/>
                <w:color w:val="000000" w:themeColor="text1"/>
                <w:lang w:val="es-ES" w:eastAsia="es-ES"/>
              </w:rPr>
              <w:t xml:space="preserve"> y la producción orgánica.</w:t>
            </w:r>
          </w:p>
        </w:tc>
      </w:tr>
      <w:tr w:rsidR="00612E7B" w:rsidRPr="00E218F4" w14:paraId="30C5B886" w14:textId="77777777" w:rsidTr="00540A09">
        <w:trPr>
          <w:jc w:val="center"/>
        </w:trPr>
        <w:tc>
          <w:tcPr>
            <w:tcW w:w="9072" w:type="dxa"/>
            <w:shd w:val="clear" w:color="auto" w:fill="auto"/>
          </w:tcPr>
          <w:p w14:paraId="63899929"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7.1.3.5 Conservar y fomentar los polinizadores en el Estado.</w:t>
            </w:r>
          </w:p>
        </w:tc>
      </w:tr>
      <w:tr w:rsidR="00612E7B" w:rsidRPr="00E218F4" w14:paraId="65586FCC" w14:textId="77777777" w:rsidTr="00540A09">
        <w:trPr>
          <w:jc w:val="center"/>
        </w:trPr>
        <w:tc>
          <w:tcPr>
            <w:tcW w:w="9072" w:type="dxa"/>
            <w:shd w:val="clear" w:color="auto" w:fill="92D050"/>
          </w:tcPr>
          <w:p w14:paraId="2C44C579"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Objetivo</w:t>
            </w:r>
          </w:p>
        </w:tc>
      </w:tr>
      <w:tr w:rsidR="00612E7B" w:rsidRPr="00E218F4" w14:paraId="1C0FA15D" w14:textId="77777777" w:rsidTr="00540A09">
        <w:trPr>
          <w:jc w:val="center"/>
        </w:trPr>
        <w:tc>
          <w:tcPr>
            <w:tcW w:w="9072" w:type="dxa"/>
            <w:shd w:val="clear" w:color="auto" w:fill="auto"/>
          </w:tcPr>
          <w:p w14:paraId="0CC5D1D5" w14:textId="77777777" w:rsidR="00612E7B" w:rsidRPr="00E218F4" w:rsidRDefault="00612E7B" w:rsidP="00612E7B">
            <w:pPr>
              <w:ind w:left="346" w:hanging="346"/>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7.2 Promover una economía baja en carbono y acciones estratégicas de mitigación al cambio climático.</w:t>
            </w:r>
          </w:p>
        </w:tc>
      </w:tr>
      <w:tr w:rsidR="00612E7B" w:rsidRPr="00E218F4" w14:paraId="189FC172" w14:textId="77777777" w:rsidTr="00540A09">
        <w:trPr>
          <w:jc w:val="center"/>
        </w:trPr>
        <w:tc>
          <w:tcPr>
            <w:tcW w:w="9072" w:type="dxa"/>
            <w:shd w:val="clear" w:color="auto" w:fill="92D050"/>
          </w:tcPr>
          <w:p w14:paraId="1EAE1D1E" w14:textId="77777777" w:rsidR="00612E7B" w:rsidRPr="00E218F4" w:rsidRDefault="00612E7B" w:rsidP="00612E7B">
            <w:pPr>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Línea estratégica </w:t>
            </w:r>
          </w:p>
        </w:tc>
      </w:tr>
      <w:tr w:rsidR="00612E7B" w:rsidRPr="00E218F4" w14:paraId="297C0C65" w14:textId="77777777" w:rsidTr="00540A09">
        <w:trPr>
          <w:jc w:val="center"/>
        </w:trPr>
        <w:tc>
          <w:tcPr>
            <w:tcW w:w="9072" w:type="dxa"/>
            <w:shd w:val="clear" w:color="auto" w:fill="auto"/>
          </w:tcPr>
          <w:p w14:paraId="43CCF912" w14:textId="77777777" w:rsidR="00612E7B" w:rsidRPr="00E218F4" w:rsidRDefault="00612E7B" w:rsidP="00612E7B">
            <w:pPr>
              <w:ind w:left="1055" w:hanging="568"/>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lastRenderedPageBreak/>
              <w:t>7.2.1 Fomentar el uso de energías renovables.</w:t>
            </w:r>
          </w:p>
        </w:tc>
      </w:tr>
      <w:tr w:rsidR="00612E7B" w:rsidRPr="00E218F4" w14:paraId="34040CF6" w14:textId="77777777" w:rsidTr="00540A09">
        <w:trPr>
          <w:jc w:val="center"/>
        </w:trPr>
        <w:tc>
          <w:tcPr>
            <w:tcW w:w="9072" w:type="dxa"/>
            <w:shd w:val="clear" w:color="auto" w:fill="92D050"/>
          </w:tcPr>
          <w:p w14:paraId="16F444E7"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Acciones </w:t>
            </w:r>
          </w:p>
        </w:tc>
      </w:tr>
      <w:tr w:rsidR="00612E7B" w:rsidRPr="00E218F4" w14:paraId="261B2122" w14:textId="77777777" w:rsidTr="00540A09">
        <w:trPr>
          <w:jc w:val="center"/>
        </w:trPr>
        <w:tc>
          <w:tcPr>
            <w:tcW w:w="9072" w:type="dxa"/>
            <w:shd w:val="clear" w:color="auto" w:fill="auto"/>
          </w:tcPr>
          <w:p w14:paraId="1A72184E"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7.2.1.1 Fomentar el uso eficiente y el ahorro de energía en el transporte y en las actividades económicas productivas.</w:t>
            </w:r>
          </w:p>
        </w:tc>
      </w:tr>
      <w:tr w:rsidR="00612E7B" w:rsidRPr="00E218F4" w14:paraId="2A5D516D" w14:textId="77777777" w:rsidTr="00540A09">
        <w:trPr>
          <w:jc w:val="center"/>
        </w:trPr>
        <w:tc>
          <w:tcPr>
            <w:tcW w:w="9072" w:type="dxa"/>
            <w:shd w:val="clear" w:color="auto" w:fill="auto"/>
          </w:tcPr>
          <w:p w14:paraId="79D2E30D"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7.2.1.2 Integrar e instrumentar proyectos encaminados a generar, distribuir y utilizar energías limpias en el transporte y la industria.</w:t>
            </w:r>
          </w:p>
        </w:tc>
      </w:tr>
      <w:tr w:rsidR="00612E7B" w:rsidRPr="00E218F4" w14:paraId="5D426EB5" w14:textId="77777777" w:rsidTr="00540A09">
        <w:trPr>
          <w:jc w:val="center"/>
        </w:trPr>
        <w:tc>
          <w:tcPr>
            <w:tcW w:w="9072" w:type="dxa"/>
            <w:shd w:val="clear" w:color="auto" w:fill="auto"/>
          </w:tcPr>
          <w:p w14:paraId="5909850F" w14:textId="77777777" w:rsidR="00612E7B" w:rsidRPr="00E218F4" w:rsidRDefault="00612E7B" w:rsidP="00612E7B">
            <w:pPr>
              <w:ind w:left="2019" w:hanging="850"/>
              <w:contextualSpacing/>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7.2.1.3 Utilizar el potencial geotérmico del Estado para desarrollar la industria con base en energía limpia.</w:t>
            </w:r>
          </w:p>
        </w:tc>
      </w:tr>
      <w:tr w:rsidR="00612E7B" w:rsidRPr="00E218F4" w14:paraId="40E30A86" w14:textId="77777777" w:rsidTr="00540A09">
        <w:trPr>
          <w:jc w:val="center"/>
        </w:trPr>
        <w:tc>
          <w:tcPr>
            <w:tcW w:w="9072" w:type="dxa"/>
            <w:shd w:val="clear" w:color="auto" w:fill="auto"/>
          </w:tcPr>
          <w:p w14:paraId="589E02EC"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7.2.1.4 Desarrollar una red de distribución de gas natural a lo largo del Estado con base en la producción de biomasa de nopal y otros cultivos.</w:t>
            </w:r>
          </w:p>
        </w:tc>
      </w:tr>
      <w:tr w:rsidR="00612E7B" w:rsidRPr="00E218F4" w14:paraId="61A27DE2" w14:textId="77777777" w:rsidTr="00540A09">
        <w:trPr>
          <w:jc w:val="center"/>
        </w:trPr>
        <w:tc>
          <w:tcPr>
            <w:tcW w:w="9072" w:type="dxa"/>
            <w:shd w:val="clear" w:color="auto" w:fill="auto"/>
          </w:tcPr>
          <w:p w14:paraId="61179B02" w14:textId="77777777" w:rsidR="00612E7B" w:rsidRPr="00E218F4" w:rsidRDefault="00612E7B" w:rsidP="00612E7B">
            <w:pPr>
              <w:tabs>
                <w:tab w:val="left" w:pos="728"/>
              </w:tabs>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7.2.1.5 Participar en forma estratégica en programas internacionales para mitigar emisiones de gases de efecto invernadero, conservar bosques e impulsar proyectos con un alto contenido de secuestro de carbono.</w:t>
            </w:r>
          </w:p>
        </w:tc>
      </w:tr>
      <w:tr w:rsidR="00612E7B" w:rsidRPr="00E218F4" w14:paraId="4BE5D296" w14:textId="77777777" w:rsidTr="00540A09">
        <w:trPr>
          <w:jc w:val="center"/>
        </w:trPr>
        <w:tc>
          <w:tcPr>
            <w:tcW w:w="9072" w:type="dxa"/>
            <w:shd w:val="clear" w:color="auto" w:fill="auto"/>
          </w:tcPr>
          <w:p w14:paraId="31C41EFE"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7.2.1.6 Promover un turismo sustentable en donde se ahorre energía y se valorice a la naturaleza.</w:t>
            </w:r>
          </w:p>
        </w:tc>
      </w:tr>
      <w:tr w:rsidR="00612E7B" w:rsidRPr="00E218F4" w14:paraId="25A1030A" w14:textId="77777777" w:rsidTr="00540A09">
        <w:trPr>
          <w:jc w:val="center"/>
        </w:trPr>
        <w:tc>
          <w:tcPr>
            <w:tcW w:w="9072" w:type="dxa"/>
            <w:shd w:val="clear" w:color="auto" w:fill="auto"/>
          </w:tcPr>
          <w:p w14:paraId="4ACC95F0"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7.2.1.7 Impulsar proyectos de inversión con la participación del sector privado con el fin de aprovechar los residuos agrícolas y valorizarlos.</w:t>
            </w:r>
          </w:p>
        </w:tc>
      </w:tr>
      <w:tr w:rsidR="00612E7B" w:rsidRPr="00E218F4" w14:paraId="328AA48D" w14:textId="77777777" w:rsidTr="00540A09">
        <w:trPr>
          <w:jc w:val="center"/>
        </w:trPr>
        <w:tc>
          <w:tcPr>
            <w:tcW w:w="9072" w:type="dxa"/>
            <w:shd w:val="clear" w:color="auto" w:fill="auto"/>
          </w:tcPr>
          <w:p w14:paraId="2CFE4ADC"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7.2.1.8 Promover el desarrollo y aplicación de nuevas tecnologías y modelos para el tratamiento y modelos que involucren al sector privado para el tratamiento y rehúso de aguas residuales por cuenca, en especial en cuencas y sub-cuencas con problemas de inocuidad en la producción agrícola y de salud pública.</w:t>
            </w:r>
          </w:p>
        </w:tc>
      </w:tr>
      <w:tr w:rsidR="00612E7B" w:rsidRPr="00E218F4" w14:paraId="6719B02C" w14:textId="77777777" w:rsidTr="00540A09">
        <w:trPr>
          <w:jc w:val="center"/>
        </w:trPr>
        <w:tc>
          <w:tcPr>
            <w:tcW w:w="9072" w:type="dxa"/>
            <w:shd w:val="clear" w:color="auto" w:fill="92D050"/>
          </w:tcPr>
          <w:p w14:paraId="0BD78BC5"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Objetivo </w:t>
            </w:r>
          </w:p>
        </w:tc>
      </w:tr>
      <w:tr w:rsidR="00612E7B" w:rsidRPr="00E218F4" w14:paraId="1239BDFE" w14:textId="77777777" w:rsidTr="00540A09">
        <w:trPr>
          <w:jc w:val="center"/>
        </w:trPr>
        <w:tc>
          <w:tcPr>
            <w:tcW w:w="9072" w:type="dxa"/>
            <w:shd w:val="clear" w:color="auto" w:fill="auto"/>
          </w:tcPr>
          <w:p w14:paraId="5F887D3F" w14:textId="77777777" w:rsidR="00612E7B" w:rsidRPr="00E218F4" w:rsidRDefault="00612E7B" w:rsidP="00612E7B">
            <w:pPr>
              <w:ind w:left="346" w:hanging="346"/>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 Propiciar prosperidad urbana para lograr mejor calidad de vida construyendo entornos simbióticos con la naturaleza.</w:t>
            </w:r>
          </w:p>
        </w:tc>
      </w:tr>
      <w:tr w:rsidR="00612E7B" w:rsidRPr="00E218F4" w14:paraId="7C47A6EE" w14:textId="77777777" w:rsidTr="00540A09">
        <w:trPr>
          <w:jc w:val="center"/>
        </w:trPr>
        <w:tc>
          <w:tcPr>
            <w:tcW w:w="9072" w:type="dxa"/>
            <w:shd w:val="clear" w:color="auto" w:fill="92D050"/>
          </w:tcPr>
          <w:p w14:paraId="4C3A8686"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Línea estratégica </w:t>
            </w:r>
          </w:p>
        </w:tc>
      </w:tr>
      <w:tr w:rsidR="00612E7B" w:rsidRPr="00E218F4" w14:paraId="0913212E" w14:textId="77777777" w:rsidTr="00540A09">
        <w:trPr>
          <w:jc w:val="center"/>
        </w:trPr>
        <w:tc>
          <w:tcPr>
            <w:tcW w:w="9072" w:type="dxa"/>
            <w:shd w:val="clear" w:color="auto" w:fill="auto"/>
          </w:tcPr>
          <w:p w14:paraId="63DBFA03" w14:textId="77777777" w:rsidR="00612E7B" w:rsidRPr="00E218F4" w:rsidRDefault="00612E7B" w:rsidP="00612E7B">
            <w:pPr>
              <w:ind w:left="487"/>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 3.1 Generar prosperidad urbana.</w:t>
            </w:r>
          </w:p>
        </w:tc>
      </w:tr>
      <w:tr w:rsidR="00612E7B" w:rsidRPr="00E218F4" w14:paraId="397FF476" w14:textId="77777777" w:rsidTr="00540A09">
        <w:trPr>
          <w:jc w:val="center"/>
        </w:trPr>
        <w:tc>
          <w:tcPr>
            <w:tcW w:w="9072" w:type="dxa"/>
            <w:shd w:val="clear" w:color="auto" w:fill="92D050"/>
          </w:tcPr>
          <w:p w14:paraId="3DEC9E41"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Acciones </w:t>
            </w:r>
          </w:p>
        </w:tc>
      </w:tr>
      <w:tr w:rsidR="00612E7B" w:rsidRPr="00E218F4" w14:paraId="25FB8E13" w14:textId="77777777" w:rsidTr="00540A09">
        <w:trPr>
          <w:jc w:val="center"/>
        </w:trPr>
        <w:tc>
          <w:tcPr>
            <w:tcW w:w="9072" w:type="dxa"/>
            <w:shd w:val="clear" w:color="auto" w:fill="auto"/>
          </w:tcPr>
          <w:p w14:paraId="7CD22C54"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7.3.1.1 Crear un programa integral de ciudades seguras y destinos turísticos sustentables.</w:t>
            </w:r>
          </w:p>
        </w:tc>
      </w:tr>
      <w:tr w:rsidR="00612E7B" w:rsidRPr="00E218F4" w14:paraId="3DE9D1FE" w14:textId="77777777" w:rsidTr="00540A09">
        <w:trPr>
          <w:jc w:val="center"/>
        </w:trPr>
        <w:tc>
          <w:tcPr>
            <w:tcW w:w="9072" w:type="dxa"/>
            <w:shd w:val="clear" w:color="auto" w:fill="auto"/>
          </w:tcPr>
          <w:p w14:paraId="3E86369C"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7.3.1.2 Apoyar la construcción de viviendas con eco tecnologías.</w:t>
            </w:r>
          </w:p>
        </w:tc>
      </w:tr>
      <w:tr w:rsidR="00612E7B" w:rsidRPr="00E218F4" w14:paraId="3617463E" w14:textId="77777777" w:rsidTr="00540A09">
        <w:trPr>
          <w:jc w:val="center"/>
        </w:trPr>
        <w:tc>
          <w:tcPr>
            <w:tcW w:w="9072" w:type="dxa"/>
            <w:shd w:val="clear" w:color="auto" w:fill="auto"/>
          </w:tcPr>
          <w:p w14:paraId="4E29D683"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7.3.1.3 Fomentar el modelo de ciudad compacta, competitiva y creativa que otorgue mayor accesibilidad y promueva el crecimiento económico de bajo impacto ambiental.</w:t>
            </w:r>
          </w:p>
        </w:tc>
      </w:tr>
      <w:tr w:rsidR="00612E7B" w:rsidRPr="00E218F4" w14:paraId="1B91958C" w14:textId="77777777" w:rsidTr="00540A09">
        <w:trPr>
          <w:jc w:val="center"/>
        </w:trPr>
        <w:tc>
          <w:tcPr>
            <w:tcW w:w="9072" w:type="dxa"/>
            <w:shd w:val="clear" w:color="auto" w:fill="auto"/>
          </w:tcPr>
          <w:p w14:paraId="35EE8C85"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7.3.1.4 Aplicar inteligencia territorial para la toma de decisiones y el desarrollo de infraestructura y equipamiento.</w:t>
            </w:r>
          </w:p>
        </w:tc>
      </w:tr>
      <w:tr w:rsidR="00612E7B" w:rsidRPr="00E218F4" w14:paraId="43954F9A" w14:textId="77777777" w:rsidTr="00540A09">
        <w:trPr>
          <w:jc w:val="center"/>
        </w:trPr>
        <w:tc>
          <w:tcPr>
            <w:tcW w:w="9072" w:type="dxa"/>
            <w:shd w:val="clear" w:color="auto" w:fill="auto"/>
          </w:tcPr>
          <w:p w14:paraId="3B22DD6C"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7.3.1.5 Promover una infraestructura que contribuya a mejorar la vida urbana, la productividad, movilidad y conectividad.</w:t>
            </w:r>
          </w:p>
        </w:tc>
      </w:tr>
      <w:tr w:rsidR="00612E7B" w:rsidRPr="00E218F4" w14:paraId="07C35E67" w14:textId="77777777" w:rsidTr="00540A09">
        <w:trPr>
          <w:jc w:val="center"/>
        </w:trPr>
        <w:tc>
          <w:tcPr>
            <w:tcW w:w="9072" w:type="dxa"/>
            <w:shd w:val="clear" w:color="auto" w:fill="auto"/>
          </w:tcPr>
          <w:p w14:paraId="521B98D7"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7.3.1.6 Construir y administrar los espacios urbanos para mejorar la seguridad y la sostenibilidad de las ciudades.</w:t>
            </w:r>
          </w:p>
        </w:tc>
      </w:tr>
      <w:tr w:rsidR="00612E7B" w:rsidRPr="00E218F4" w14:paraId="1A663209" w14:textId="77777777" w:rsidTr="00540A09">
        <w:trPr>
          <w:trHeight w:val="574"/>
          <w:jc w:val="center"/>
        </w:trPr>
        <w:tc>
          <w:tcPr>
            <w:tcW w:w="9072" w:type="dxa"/>
            <w:shd w:val="clear" w:color="auto" w:fill="auto"/>
          </w:tcPr>
          <w:p w14:paraId="6D095747"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7.3.1.7 Mejorar la planificación y gestión urbana, desde la creación de áreas públicas verdes, con la inclusión y participación social. </w:t>
            </w:r>
          </w:p>
        </w:tc>
      </w:tr>
      <w:tr w:rsidR="00612E7B" w:rsidRPr="00E218F4" w14:paraId="024F76C0" w14:textId="77777777" w:rsidTr="00540A09">
        <w:trPr>
          <w:jc w:val="center"/>
        </w:trPr>
        <w:tc>
          <w:tcPr>
            <w:tcW w:w="9072" w:type="dxa"/>
            <w:shd w:val="clear" w:color="auto" w:fill="auto"/>
          </w:tcPr>
          <w:p w14:paraId="5D9A44D5"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7.3.1.8 Modificar los métodos de producción y consumo de bienes y recursos, para reducir la huella ecológica, promoviendo un crecimiento económico y desarrollo sostenible.</w:t>
            </w:r>
          </w:p>
        </w:tc>
      </w:tr>
      <w:tr w:rsidR="00612E7B" w:rsidRPr="00E218F4" w14:paraId="246D6B74" w14:textId="77777777" w:rsidTr="00540A09">
        <w:trPr>
          <w:jc w:val="center"/>
        </w:trPr>
        <w:tc>
          <w:tcPr>
            <w:tcW w:w="9072" w:type="dxa"/>
            <w:shd w:val="clear" w:color="auto" w:fill="auto"/>
          </w:tcPr>
          <w:p w14:paraId="3D8B4F49"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7.3.1.9 Proteger el medio ambiente urbano y sus recursos naturales.</w:t>
            </w:r>
          </w:p>
        </w:tc>
      </w:tr>
      <w:tr w:rsidR="00612E7B" w:rsidRPr="00E218F4" w14:paraId="28B2828A" w14:textId="77777777" w:rsidTr="00540A09">
        <w:trPr>
          <w:jc w:val="center"/>
        </w:trPr>
        <w:tc>
          <w:tcPr>
            <w:tcW w:w="9072" w:type="dxa"/>
            <w:shd w:val="clear" w:color="auto" w:fill="auto"/>
          </w:tcPr>
          <w:p w14:paraId="14C01A02"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7.3.1.10 Garantizar la interconexión de las diferentes regiones del Estado y favorecer la movilidad sustentable entre y dentro de los centros de población.</w:t>
            </w:r>
          </w:p>
        </w:tc>
      </w:tr>
      <w:tr w:rsidR="00612E7B" w:rsidRPr="00E218F4" w14:paraId="2902C7DE" w14:textId="77777777" w:rsidTr="00540A09">
        <w:trPr>
          <w:jc w:val="center"/>
        </w:trPr>
        <w:tc>
          <w:tcPr>
            <w:tcW w:w="9072" w:type="dxa"/>
            <w:shd w:val="clear" w:color="auto" w:fill="auto"/>
          </w:tcPr>
          <w:p w14:paraId="6346AA5E"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7.3.1.11 Promover el derecho a la ciudad, la formalización de asentamientos humanos y el acceso al suelo y vivienda asequible con servicios básicos y espacios públicos adecuados.</w:t>
            </w:r>
          </w:p>
        </w:tc>
      </w:tr>
      <w:tr w:rsidR="00612E7B" w:rsidRPr="00E218F4" w14:paraId="0B6DDD98" w14:textId="77777777" w:rsidTr="00540A09">
        <w:trPr>
          <w:jc w:val="center"/>
        </w:trPr>
        <w:tc>
          <w:tcPr>
            <w:tcW w:w="9072" w:type="dxa"/>
            <w:shd w:val="clear" w:color="auto" w:fill="92D050"/>
          </w:tcPr>
          <w:p w14:paraId="6ABA62D1"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Línea estratégica </w:t>
            </w:r>
          </w:p>
        </w:tc>
      </w:tr>
      <w:tr w:rsidR="00612E7B" w:rsidRPr="00E218F4" w14:paraId="36BA10FF" w14:textId="77777777" w:rsidTr="00540A09">
        <w:trPr>
          <w:jc w:val="center"/>
        </w:trPr>
        <w:tc>
          <w:tcPr>
            <w:tcW w:w="9072" w:type="dxa"/>
            <w:shd w:val="clear" w:color="auto" w:fill="auto"/>
          </w:tcPr>
          <w:p w14:paraId="10DAD8C1" w14:textId="77777777" w:rsidR="00612E7B" w:rsidRPr="00E218F4" w:rsidRDefault="00612E7B" w:rsidP="00612E7B">
            <w:pPr>
              <w:ind w:left="487"/>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7.3.2 Fortalecer acciones de adaptación al cambio climático y la resiliencia urbana.</w:t>
            </w:r>
          </w:p>
        </w:tc>
      </w:tr>
      <w:tr w:rsidR="00612E7B" w:rsidRPr="00E218F4" w14:paraId="55D0270E" w14:textId="77777777" w:rsidTr="00540A09">
        <w:trPr>
          <w:jc w:val="center"/>
        </w:trPr>
        <w:tc>
          <w:tcPr>
            <w:tcW w:w="9072" w:type="dxa"/>
            <w:shd w:val="clear" w:color="auto" w:fill="92D050"/>
          </w:tcPr>
          <w:p w14:paraId="1B2AD8E9"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lastRenderedPageBreak/>
              <w:t>Acciones</w:t>
            </w:r>
          </w:p>
        </w:tc>
      </w:tr>
      <w:tr w:rsidR="00612E7B" w:rsidRPr="00E218F4" w14:paraId="4CD54981" w14:textId="77777777" w:rsidTr="00540A09">
        <w:trPr>
          <w:jc w:val="center"/>
        </w:trPr>
        <w:tc>
          <w:tcPr>
            <w:tcW w:w="9072" w:type="dxa"/>
            <w:shd w:val="clear" w:color="auto" w:fill="auto"/>
          </w:tcPr>
          <w:p w14:paraId="2D7717B5"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7.3.2.1 Evaluar la vulnerabilidad y riesgos </w:t>
            </w:r>
            <w:proofErr w:type="spellStart"/>
            <w:r w:rsidRPr="00E218F4">
              <w:rPr>
                <w:rFonts w:ascii="MyriadPro-Regular" w:hAnsi="MyriadPro-Regular"/>
                <w:color w:val="000000" w:themeColor="text1"/>
                <w:lang w:val="es-ES" w:eastAsia="es-ES"/>
              </w:rPr>
              <w:t>multiamenaza</w:t>
            </w:r>
            <w:proofErr w:type="spellEnd"/>
            <w:r w:rsidRPr="00E218F4">
              <w:rPr>
                <w:rFonts w:ascii="MyriadPro-Regular" w:hAnsi="MyriadPro-Regular"/>
                <w:color w:val="000000" w:themeColor="text1"/>
                <w:lang w:val="es-ES" w:eastAsia="es-ES"/>
              </w:rPr>
              <w:t xml:space="preserve"> en la planeación territorial y urbana.</w:t>
            </w:r>
          </w:p>
        </w:tc>
      </w:tr>
      <w:tr w:rsidR="00612E7B" w:rsidRPr="00E218F4" w14:paraId="7D7AF865" w14:textId="77777777" w:rsidTr="00540A09">
        <w:trPr>
          <w:jc w:val="center"/>
        </w:trPr>
        <w:tc>
          <w:tcPr>
            <w:tcW w:w="9072" w:type="dxa"/>
            <w:shd w:val="clear" w:color="auto" w:fill="auto"/>
          </w:tcPr>
          <w:p w14:paraId="2D71B008" w14:textId="77777777" w:rsidR="00612E7B" w:rsidRPr="00E218F4" w:rsidRDefault="00612E7B" w:rsidP="00612E7B">
            <w:pPr>
              <w:tabs>
                <w:tab w:val="left" w:pos="1507"/>
              </w:tabs>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7.3.2.2 Instrumentar el programa integral de atención a asentamientos irregulares.</w:t>
            </w:r>
          </w:p>
        </w:tc>
      </w:tr>
      <w:tr w:rsidR="00612E7B" w:rsidRPr="00E218F4" w14:paraId="798B042D" w14:textId="77777777" w:rsidTr="00540A09">
        <w:trPr>
          <w:jc w:val="center"/>
        </w:trPr>
        <w:tc>
          <w:tcPr>
            <w:tcW w:w="9072" w:type="dxa"/>
            <w:shd w:val="clear" w:color="auto" w:fill="auto"/>
          </w:tcPr>
          <w:p w14:paraId="7198448F"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7.3.2.3  Reducir la vulnerabilidad de las áreas marginadas y equipamiento  urbano estratégico ante los efectos del cambio climático.</w:t>
            </w:r>
          </w:p>
        </w:tc>
      </w:tr>
      <w:tr w:rsidR="00612E7B" w:rsidRPr="00E218F4" w14:paraId="6C5F942C" w14:textId="77777777" w:rsidTr="00540A09">
        <w:trPr>
          <w:jc w:val="center"/>
        </w:trPr>
        <w:tc>
          <w:tcPr>
            <w:tcW w:w="9072" w:type="dxa"/>
            <w:shd w:val="clear" w:color="auto" w:fill="auto"/>
          </w:tcPr>
          <w:p w14:paraId="652C37A5"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7.3.2.4 Desarrollar un sistema de alerta temprana, respuestas eficaces, recuperación y reconstrucción de comunidades.</w:t>
            </w:r>
          </w:p>
        </w:tc>
      </w:tr>
      <w:tr w:rsidR="00612E7B" w:rsidRPr="00E218F4" w14:paraId="6C4B182E" w14:textId="77777777" w:rsidTr="00540A09">
        <w:trPr>
          <w:jc w:val="center"/>
        </w:trPr>
        <w:tc>
          <w:tcPr>
            <w:tcW w:w="9072" w:type="dxa"/>
            <w:shd w:val="clear" w:color="auto" w:fill="auto"/>
          </w:tcPr>
          <w:p w14:paraId="29C45705"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7.3.2.5 Promover la resiliencia ciudadana a través de la capacitación, educación, concientización e inteligencia colectiva ante contingencias ambientales de las zonas urbanas.</w:t>
            </w:r>
          </w:p>
        </w:tc>
      </w:tr>
      <w:tr w:rsidR="00612E7B" w:rsidRPr="00E218F4" w14:paraId="15FF3593" w14:textId="77777777" w:rsidTr="00540A09">
        <w:trPr>
          <w:jc w:val="center"/>
        </w:trPr>
        <w:tc>
          <w:tcPr>
            <w:tcW w:w="9072" w:type="dxa"/>
            <w:shd w:val="clear" w:color="auto" w:fill="auto"/>
          </w:tcPr>
          <w:p w14:paraId="4393BE7A" w14:textId="6725E19E" w:rsidR="00F32CC0" w:rsidRPr="00E218F4" w:rsidRDefault="00612E7B" w:rsidP="00E218F4">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7.3.2.6 Desarrollar un marco institucional, administrativo y financiero para implementar estrategias de resiliencia urbana.</w:t>
            </w:r>
          </w:p>
        </w:tc>
      </w:tr>
      <w:tr w:rsidR="00612E7B" w:rsidRPr="00E218F4" w14:paraId="5AA4647E" w14:textId="77777777" w:rsidTr="00540A09">
        <w:trPr>
          <w:jc w:val="center"/>
        </w:trPr>
        <w:tc>
          <w:tcPr>
            <w:tcW w:w="9072" w:type="dxa"/>
            <w:shd w:val="clear" w:color="auto" w:fill="92D050"/>
          </w:tcPr>
          <w:p w14:paraId="7AB7076A"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Línea estratégica </w:t>
            </w:r>
          </w:p>
        </w:tc>
      </w:tr>
      <w:tr w:rsidR="00612E7B" w:rsidRPr="00E218F4" w14:paraId="52E32E38" w14:textId="77777777" w:rsidTr="00540A09">
        <w:trPr>
          <w:jc w:val="center"/>
        </w:trPr>
        <w:tc>
          <w:tcPr>
            <w:tcW w:w="9072" w:type="dxa"/>
            <w:shd w:val="clear" w:color="auto" w:fill="auto"/>
          </w:tcPr>
          <w:p w14:paraId="6FB020B2" w14:textId="77777777" w:rsidR="00612E7B" w:rsidRPr="00E218F4" w:rsidRDefault="00612E7B" w:rsidP="00612E7B">
            <w:pPr>
              <w:ind w:left="487"/>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7.3.3 Garantizar gobernanza ambiental y territorial.</w:t>
            </w:r>
          </w:p>
        </w:tc>
      </w:tr>
      <w:tr w:rsidR="00612E7B" w:rsidRPr="00E218F4" w14:paraId="3B345FA4" w14:textId="77777777" w:rsidTr="00540A09">
        <w:trPr>
          <w:jc w:val="center"/>
        </w:trPr>
        <w:tc>
          <w:tcPr>
            <w:tcW w:w="9072" w:type="dxa"/>
            <w:shd w:val="clear" w:color="auto" w:fill="92D050"/>
          </w:tcPr>
          <w:p w14:paraId="7071075D" w14:textId="77777777" w:rsidR="00612E7B" w:rsidRPr="00E218F4" w:rsidRDefault="00612E7B" w:rsidP="00612E7B">
            <w:pPr>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Acciones </w:t>
            </w:r>
          </w:p>
        </w:tc>
      </w:tr>
      <w:tr w:rsidR="00612E7B" w:rsidRPr="00E218F4" w14:paraId="0A39AC2C" w14:textId="77777777" w:rsidTr="00540A09">
        <w:trPr>
          <w:jc w:val="center"/>
        </w:trPr>
        <w:tc>
          <w:tcPr>
            <w:tcW w:w="9072" w:type="dxa"/>
            <w:shd w:val="clear" w:color="auto" w:fill="auto"/>
          </w:tcPr>
          <w:p w14:paraId="6345DCEF"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7.3.3.1 Implementar y procurar el ordenamiento territorial y la gestión de riesgos.</w:t>
            </w:r>
          </w:p>
        </w:tc>
      </w:tr>
      <w:tr w:rsidR="00612E7B" w:rsidRPr="00E218F4" w14:paraId="3D0E10F9" w14:textId="77777777" w:rsidTr="00540A09">
        <w:trPr>
          <w:jc w:val="center"/>
        </w:trPr>
        <w:tc>
          <w:tcPr>
            <w:tcW w:w="9072" w:type="dxa"/>
            <w:shd w:val="clear" w:color="auto" w:fill="auto"/>
          </w:tcPr>
          <w:p w14:paraId="618EC450"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7.3.3.2 Incluir la participación ciudadana en la toma de decisiones ambientales y urbanas, su vigilancia, evaluación y seguimiento.</w:t>
            </w:r>
          </w:p>
        </w:tc>
      </w:tr>
      <w:tr w:rsidR="00612E7B" w:rsidRPr="00E218F4" w14:paraId="2D882864" w14:textId="77777777" w:rsidTr="00540A09">
        <w:trPr>
          <w:jc w:val="center"/>
        </w:trPr>
        <w:tc>
          <w:tcPr>
            <w:tcW w:w="9072" w:type="dxa"/>
            <w:shd w:val="clear" w:color="auto" w:fill="auto"/>
          </w:tcPr>
          <w:p w14:paraId="5FADE71D" w14:textId="77777777" w:rsidR="00612E7B" w:rsidRPr="00E218F4" w:rsidRDefault="00612E7B" w:rsidP="00612E7B">
            <w:pPr>
              <w:ind w:left="2019" w:hanging="850"/>
              <w:contextualSpacing/>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7.3.3.3 Formular y actualizar los atlas de riesgo y ordenamiento territorial.</w:t>
            </w:r>
          </w:p>
        </w:tc>
      </w:tr>
      <w:tr w:rsidR="00612E7B" w:rsidRPr="00E218F4" w14:paraId="30724B2D" w14:textId="77777777" w:rsidTr="00540A09">
        <w:trPr>
          <w:jc w:val="center"/>
        </w:trPr>
        <w:tc>
          <w:tcPr>
            <w:tcW w:w="9072" w:type="dxa"/>
            <w:shd w:val="clear" w:color="auto" w:fill="auto"/>
          </w:tcPr>
          <w:p w14:paraId="5B824A89"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7.3.3.4 Ampliar las reservas territoriales en control del Estado con el fin de incidir en vivienda digna y de bajo impacto ambiental.</w:t>
            </w:r>
          </w:p>
        </w:tc>
      </w:tr>
      <w:tr w:rsidR="00612E7B" w:rsidRPr="00E218F4" w14:paraId="3AA19551" w14:textId="77777777" w:rsidTr="00540A09">
        <w:trPr>
          <w:jc w:val="center"/>
        </w:trPr>
        <w:tc>
          <w:tcPr>
            <w:tcW w:w="9072" w:type="dxa"/>
            <w:shd w:val="clear" w:color="auto" w:fill="auto"/>
          </w:tcPr>
          <w:p w14:paraId="2BBADC49" w14:textId="77777777" w:rsidR="00612E7B" w:rsidRPr="00E218F4" w:rsidRDefault="00612E7B"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7.3.3.5 Vigilar el cumplimiento de instrumentos de planeación territorial en materia ambiental y urbana.</w:t>
            </w:r>
          </w:p>
        </w:tc>
      </w:tr>
      <w:tr w:rsidR="005B091D" w:rsidRPr="00E218F4" w14:paraId="099236AB" w14:textId="77777777" w:rsidTr="00540A09">
        <w:trPr>
          <w:jc w:val="center"/>
        </w:trPr>
        <w:tc>
          <w:tcPr>
            <w:tcW w:w="9072" w:type="dxa"/>
            <w:shd w:val="clear" w:color="auto" w:fill="auto"/>
          </w:tcPr>
          <w:p w14:paraId="571CDE8A" w14:textId="7472935F" w:rsidR="005B091D" w:rsidRPr="00E218F4" w:rsidRDefault="005B091D" w:rsidP="00612E7B">
            <w:pPr>
              <w:ind w:left="2019" w:hanging="850"/>
              <w:jc w:val="both"/>
              <w:rPr>
                <w:rFonts w:ascii="MyriadPro-Regular" w:hAnsi="MyriadPro-Regular"/>
                <w:color w:val="000000" w:themeColor="text1"/>
                <w:lang w:val="es-ES" w:eastAsia="es-ES"/>
              </w:rPr>
            </w:pPr>
            <w:r w:rsidRPr="00E218F4">
              <w:rPr>
                <w:rFonts w:ascii="MyriadPro-Regular" w:hAnsi="MyriadPro-Regular"/>
                <w:color w:val="000000" w:themeColor="text1"/>
                <w:lang w:val="es-ES" w:eastAsia="es-ES"/>
              </w:rPr>
              <w:t xml:space="preserve">7.3.3.6 Prevenir, auxiliar y apoyar a la población en caso de grave riesgo </w:t>
            </w:r>
            <w:r w:rsidR="00B32DC4" w:rsidRPr="00E218F4">
              <w:rPr>
                <w:rFonts w:ascii="MyriadPro-Regular" w:hAnsi="MyriadPro-Regular"/>
                <w:color w:val="000000" w:themeColor="text1"/>
                <w:lang w:val="es-ES" w:eastAsia="es-ES"/>
              </w:rPr>
              <w:t>colectivo, catástrofe, desastre o calamidad pública provocada por agentes naturales o humanos.</w:t>
            </w:r>
          </w:p>
        </w:tc>
      </w:tr>
    </w:tbl>
    <w:p w14:paraId="63EA1220" w14:textId="77777777" w:rsidR="00612E7B" w:rsidRDefault="00612E7B" w:rsidP="00487E5A">
      <w:pPr>
        <w:spacing w:after="0"/>
        <w:jc w:val="both"/>
        <w:rPr>
          <w:rFonts w:ascii="GalanoGrotesque-Regular" w:eastAsia="Times New Roman" w:hAnsi="GalanoGrotesque-Regular" w:cs="Arial"/>
          <w:sz w:val="20"/>
          <w:szCs w:val="20"/>
          <w:lang w:val="es-ES" w:eastAsia="es-ES"/>
        </w:rPr>
        <w:sectPr w:rsidR="00612E7B" w:rsidSect="00487E5A">
          <w:footnotePr>
            <w:numStart w:val="4"/>
          </w:footnotePr>
          <w:type w:val="continuous"/>
          <w:pgSz w:w="12240" w:h="15840"/>
          <w:pgMar w:top="1418" w:right="1134" w:bottom="1418" w:left="1134" w:header="709" w:footer="709" w:gutter="0"/>
          <w:cols w:space="567"/>
          <w:docGrid w:linePitch="360"/>
        </w:sectPr>
      </w:pPr>
    </w:p>
    <w:p w14:paraId="25C63D54" w14:textId="77777777" w:rsidR="00487E5A" w:rsidRPr="00487E5A" w:rsidRDefault="00540A09" w:rsidP="00487E5A">
      <w:pPr>
        <w:spacing w:after="0"/>
        <w:jc w:val="both"/>
        <w:rPr>
          <w:rFonts w:ascii="GalanoGrotesque-Regular" w:eastAsia="Times New Roman" w:hAnsi="GalanoGrotesque-Regular" w:cs="Arial"/>
          <w:sz w:val="20"/>
          <w:szCs w:val="20"/>
          <w:lang w:val="es-ES" w:eastAsia="es-ES"/>
        </w:rPr>
      </w:pPr>
      <w:r>
        <w:rPr>
          <w:rFonts w:ascii="GalanoGrotesque-Regular" w:eastAsia="Times New Roman" w:hAnsi="GalanoGrotesque-Regular" w:cs="Arial"/>
          <w:noProof/>
          <w:sz w:val="20"/>
          <w:szCs w:val="20"/>
          <w:lang w:val="es-ES" w:eastAsia="es-ES"/>
        </w:rPr>
        <w:lastRenderedPageBreak/>
        <w:drawing>
          <wp:anchor distT="0" distB="0" distL="114300" distR="114300" simplePos="0" relativeHeight="251775488" behindDoc="0" locked="0" layoutInCell="1" allowOverlap="1" wp14:anchorId="10AFD415" wp14:editId="4467EAAB">
            <wp:simplePos x="0" y="0"/>
            <wp:positionH relativeFrom="column">
              <wp:posOffset>-758190</wp:posOffset>
            </wp:positionH>
            <wp:positionV relativeFrom="page">
              <wp:posOffset>19050</wp:posOffset>
            </wp:positionV>
            <wp:extent cx="7778750" cy="998601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ma-8.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778750" cy="9986010"/>
                    </a:xfrm>
                    <a:prstGeom prst="rect">
                      <a:avLst/>
                    </a:prstGeom>
                  </pic:spPr>
                </pic:pic>
              </a:graphicData>
            </a:graphic>
            <wp14:sizeRelH relativeFrom="page">
              <wp14:pctWidth>0</wp14:pctWidth>
            </wp14:sizeRelH>
            <wp14:sizeRelV relativeFrom="page">
              <wp14:pctHeight>0</wp14:pctHeight>
            </wp14:sizeRelV>
          </wp:anchor>
        </w:drawing>
      </w:r>
    </w:p>
    <w:p w14:paraId="412B81FA" w14:textId="77777777" w:rsidR="0099134F" w:rsidRPr="00540A09" w:rsidRDefault="0099134F" w:rsidP="00540A09">
      <w:pPr>
        <w:rPr>
          <w:rFonts w:ascii="GalanoGrotesque-Medium" w:eastAsia="Times New Roman" w:hAnsi="GalanoGrotesque-Medium" w:cs="Arial"/>
          <w:b/>
          <w:sz w:val="36"/>
          <w:szCs w:val="36"/>
          <w:lang w:val="es-ES" w:eastAsia="es-ES"/>
        </w:rPr>
        <w:sectPr w:rsidR="0099134F" w:rsidRPr="00540A09" w:rsidSect="00612E7B">
          <w:footnotePr>
            <w:numStart w:val="4"/>
          </w:footnotePr>
          <w:pgSz w:w="12240" w:h="15840"/>
          <w:pgMar w:top="1418" w:right="1134" w:bottom="1418" w:left="1134" w:header="709" w:footer="709" w:gutter="0"/>
          <w:cols w:space="567"/>
          <w:docGrid w:linePitch="360"/>
        </w:sectPr>
      </w:pPr>
    </w:p>
    <w:p w14:paraId="7D5C166F" w14:textId="0766BBE0" w:rsidR="0020095D" w:rsidRPr="0020095D" w:rsidRDefault="00DD006F" w:rsidP="00A74451">
      <w:pPr>
        <w:pStyle w:val="Ttulo1"/>
        <w:spacing w:before="0" w:after="200" w:line="280" w:lineRule="exact"/>
        <w:ind w:left="709"/>
      </w:pPr>
      <w:bookmarkStart w:id="21" w:name="_Toc458015644"/>
      <w:r>
        <w:rPr>
          <w:rFonts w:ascii="GalanoGrotesque-Bold" w:hAnsi="GalanoGrotesque-Bold" w:cs="GalanoGrotesque-Bold"/>
          <w:b w:val="0"/>
          <w:bCs w:val="0"/>
          <w:noProof/>
          <w:color w:val="414142"/>
          <w:sz w:val="28"/>
          <w:szCs w:val="28"/>
        </w:rPr>
        <w:lastRenderedPageBreak/>
        <w:drawing>
          <wp:anchor distT="0" distB="0" distL="114300" distR="114300" simplePos="0" relativeHeight="251814400" behindDoc="0" locked="0" layoutInCell="1" allowOverlap="1" wp14:anchorId="61A26F12" wp14:editId="724B1FF0">
            <wp:simplePos x="0" y="0"/>
            <wp:positionH relativeFrom="column">
              <wp:posOffset>-398145</wp:posOffset>
            </wp:positionH>
            <wp:positionV relativeFrom="paragraph">
              <wp:posOffset>-90501</wp:posOffset>
            </wp:positionV>
            <wp:extent cx="838200" cy="523875"/>
            <wp:effectExtent l="0" t="0" r="0" b="9525"/>
            <wp:wrapNone/>
            <wp:docPr id="59412" name="Imagen 5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anchor>
        </w:drawing>
      </w:r>
      <w:r w:rsidR="00384CC4">
        <w:rPr>
          <w:rFonts w:ascii="GalanoGrotesque-Bold" w:hAnsi="GalanoGrotesque-Bold" w:cs="GalanoGrotesque-Bold"/>
          <w:b w:val="0"/>
          <w:bCs w:val="0"/>
          <w:color w:val="414142"/>
          <w:sz w:val="28"/>
          <w:szCs w:val="28"/>
        </w:rPr>
        <w:t>Cohesión social e igualdad</w:t>
      </w:r>
      <w:r w:rsidR="00A74451">
        <w:rPr>
          <w:rFonts w:ascii="GalanoGrotesque-Bold" w:hAnsi="GalanoGrotesque-Bold" w:cs="GalanoGrotesque-Bold"/>
          <w:b w:val="0"/>
          <w:bCs w:val="0"/>
          <w:color w:val="414142"/>
          <w:sz w:val="28"/>
          <w:szCs w:val="28"/>
        </w:rPr>
        <w:t xml:space="preserve"> </w:t>
      </w:r>
      <w:r w:rsidR="00384CC4">
        <w:rPr>
          <w:rFonts w:ascii="GalanoGrotesque-Bold" w:hAnsi="GalanoGrotesque-Bold" w:cs="GalanoGrotesque-Bold"/>
          <w:b w:val="0"/>
          <w:bCs w:val="0"/>
          <w:color w:val="414142"/>
          <w:sz w:val="28"/>
          <w:szCs w:val="28"/>
        </w:rPr>
        <w:t>sustantiva</w:t>
      </w:r>
      <w:bookmarkEnd w:id="21"/>
    </w:p>
    <w:p w14:paraId="50D5931D" w14:textId="243E401D" w:rsidR="0099134F" w:rsidRPr="001D48E8" w:rsidRDefault="0099134F" w:rsidP="0020095D">
      <w:pPr>
        <w:spacing w:after="240" w:line="240" w:lineRule="auto"/>
        <w:jc w:val="both"/>
        <w:rPr>
          <w:rFonts w:ascii="MyriadPro-Regular" w:hAnsi="MyriadPro-Regular" w:cs="MyriadPro-Regular"/>
          <w:color w:val="414142"/>
          <w:sz w:val="20"/>
          <w:szCs w:val="20"/>
        </w:rPr>
      </w:pPr>
      <w:bookmarkStart w:id="22" w:name="_Toc445831269"/>
      <w:r w:rsidRPr="001D48E8">
        <w:rPr>
          <w:rFonts w:ascii="MyriadPro-Regular" w:hAnsi="MyriadPro-Regular" w:cs="MyriadPro-Regular"/>
          <w:color w:val="414142"/>
          <w:sz w:val="20"/>
          <w:szCs w:val="20"/>
        </w:rPr>
        <w:t>Un estudio de la CEPAL</w:t>
      </w:r>
      <w:r w:rsidR="00935233">
        <w:rPr>
          <w:rStyle w:val="Refdenotaalpie"/>
          <w:rFonts w:ascii="MyriadPro-Regular" w:hAnsi="MyriadPro-Regular" w:cs="MyriadPro-Regular"/>
          <w:color w:val="414142"/>
          <w:sz w:val="20"/>
          <w:szCs w:val="20"/>
        </w:rPr>
        <w:footnoteReference w:customMarkFollows="1" w:id="11"/>
        <w:t>10</w:t>
      </w:r>
      <w:r w:rsidRPr="001D48E8">
        <w:rPr>
          <w:rFonts w:ascii="MyriadPro-Regular" w:hAnsi="MyriadPro-Regular" w:cs="MyriadPro-Regular"/>
          <w:color w:val="414142"/>
          <w:sz w:val="20"/>
          <w:szCs w:val="20"/>
        </w:rPr>
        <w:t xml:space="preserve"> sugiere que la cohesión social se refiere, por una parte, a la eficacia de los mecanismos de inclusión social como son, el empleo, los sistemas educacionales y las políticas de fomento de la equidad, el bienestar y la protección social y, por otra parte, a los comportamientos y valoraciones de los sujetos que forman parte de la sociedad.</w:t>
      </w:r>
    </w:p>
    <w:p w14:paraId="2C79A3DE" w14:textId="77777777" w:rsidR="0099134F" w:rsidRPr="001D48E8" w:rsidRDefault="0099134F" w:rsidP="0020095D">
      <w:pPr>
        <w:spacing w:after="24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Los comportamientos y valoraciones de los sujetos abarcan ámbitos tan diversos como la confianza en las instituciones, el capital social, el sentido de pertenencia y solidaridad, la aceptación de normas de convivencia y la disposición a participar en espacios de deliberación y en proyectos colectivos.</w:t>
      </w:r>
    </w:p>
    <w:p w14:paraId="51903771" w14:textId="77777777" w:rsidR="0099134F" w:rsidRPr="001D48E8" w:rsidRDefault="0099134F" w:rsidP="0020095D">
      <w:pPr>
        <w:spacing w:after="24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La cohesión social es fundamental para el desarrollo de los países y se requieren suficientes recursos y voluntad política para poder reducir las brechas en materia de exclusión y crear un sentido de pertenencia de los individuos a la sociedad, fundado en el goce efectivo de ciudadanía y en una ética democrática.</w:t>
      </w:r>
    </w:p>
    <w:p w14:paraId="24ABC1F2" w14:textId="77777777" w:rsidR="0099134F" w:rsidRPr="001D48E8" w:rsidRDefault="0099134F" w:rsidP="0020095D">
      <w:pPr>
        <w:spacing w:after="24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También es importante señalar que las características socioeconómicas de la población inciden directamente en cómo las personas perciben sus posibilidades de gozar de bienestar y, por lo tanto, contribuyen a conformar actitudes y comportamientos pueden facilitar o dificultar el logro de consensos sociales.</w:t>
      </w:r>
    </w:p>
    <w:p w14:paraId="6C3C16DC" w14:textId="77777777" w:rsidR="0099134F" w:rsidRPr="001D48E8" w:rsidRDefault="0099134F" w:rsidP="0020095D">
      <w:pPr>
        <w:spacing w:after="24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En consecuencia, los 3 Ejes de Gobernanza (Educación con Calidad, Finanzas Sanas y Seguridad Pública) sobre los que se sustenta el PLADIEM, son condiciones indispensables para lograr la cohesión social de la población michoacana.</w:t>
      </w:r>
    </w:p>
    <w:bookmarkEnd w:id="22"/>
    <w:p w14:paraId="5845EDBB" w14:textId="77777777" w:rsidR="0099134F" w:rsidRPr="00DD006F" w:rsidRDefault="0099134F" w:rsidP="00DD006F">
      <w:pPr>
        <w:pStyle w:val="Prrafodelista"/>
        <w:numPr>
          <w:ilvl w:val="0"/>
          <w:numId w:val="27"/>
        </w:numPr>
        <w:spacing w:after="240"/>
        <w:ind w:left="426" w:hanging="437"/>
        <w:rPr>
          <w:rFonts w:ascii="GalanoGrotesque-Medium" w:hAnsi="GalanoGrotesque-Medium" w:cs="Arial"/>
          <w:b/>
        </w:rPr>
      </w:pPr>
      <w:r w:rsidRPr="00DD006F">
        <w:rPr>
          <w:rFonts w:ascii="GalanoGrotesque-Medium" w:hAnsi="GalanoGrotesque-Medium" w:cs="Arial"/>
          <w:b/>
        </w:rPr>
        <w:t>Como nos encontramos</w:t>
      </w:r>
    </w:p>
    <w:p w14:paraId="0DBE09DC" w14:textId="77777777" w:rsidR="0099134F" w:rsidRPr="001D48E8" w:rsidRDefault="0099134F" w:rsidP="0099134F">
      <w:pPr>
        <w:spacing w:after="240"/>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La fragilidad de la cohesión social en Michoacán se relaciona entre otras cosas, con la transformación de valores, la situación de la estructura familiar, la desigualdad y los acelerados procesos de urbanización que se vive en algunas ciudades e incluso en las comunidades rurales del Estado. </w:t>
      </w:r>
    </w:p>
    <w:p w14:paraId="4E8CF81D" w14:textId="77777777" w:rsidR="0099134F" w:rsidRPr="001D48E8" w:rsidRDefault="0099134F" w:rsidP="00440D37">
      <w:pPr>
        <w:spacing w:after="160" w:line="240" w:lineRule="auto"/>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lastRenderedPageBreak/>
        <w:t xml:space="preserve">En el tema de igualdad de oportunidades, se observa que las mujeres michoacanas tienen una importante aportación a las actividades económicas del Estado. Los dos principales sectores económicos donde se concentra el empleo de las mujeres son el comercio (56.2%) y el de gobierno y organizaciones internacionales (44.8%). </w:t>
      </w:r>
    </w:p>
    <w:p w14:paraId="11175D69" w14:textId="77777777" w:rsidR="0020095D" w:rsidRPr="00440D37" w:rsidRDefault="0020095D" w:rsidP="00440D37">
      <w:pPr>
        <w:widowControl w:val="0"/>
        <w:autoSpaceDE w:val="0"/>
        <w:autoSpaceDN w:val="0"/>
        <w:adjustRightInd w:val="0"/>
        <w:spacing w:after="0" w:line="180" w:lineRule="exact"/>
        <w:jc w:val="center"/>
        <w:rPr>
          <w:rFonts w:ascii="GalanoGrotesque-Medium" w:hAnsi="GalanoGrotesque-Medium" w:cs="Arial"/>
          <w:b/>
          <w:sz w:val="16"/>
          <w:szCs w:val="16"/>
        </w:rPr>
      </w:pPr>
      <w:r w:rsidRPr="00440D37">
        <w:rPr>
          <w:rFonts w:ascii="GalanoGrotesque-Medium" w:hAnsi="GalanoGrotesque-Medium" w:cs="Arial"/>
          <w:b/>
          <w:sz w:val="16"/>
          <w:szCs w:val="16"/>
        </w:rPr>
        <w:t>Tabla 8.1</w:t>
      </w:r>
    </w:p>
    <w:p w14:paraId="486735B3" w14:textId="77777777" w:rsidR="0020095D" w:rsidRPr="00440D37" w:rsidRDefault="0020095D" w:rsidP="00440D37">
      <w:pPr>
        <w:pStyle w:val="NormalWeb"/>
        <w:shd w:val="clear" w:color="auto" w:fill="FFFFFF"/>
        <w:spacing w:before="0" w:beforeAutospacing="0" w:after="140" w:afterAutospacing="0" w:line="180" w:lineRule="exact"/>
        <w:jc w:val="center"/>
        <w:rPr>
          <w:rFonts w:ascii="GalanoGrotesque-Medium" w:hAnsi="GalanoGrotesque-Medium" w:cs="Arial"/>
          <w:sz w:val="16"/>
          <w:szCs w:val="16"/>
        </w:rPr>
      </w:pPr>
      <w:r w:rsidRPr="00440D37">
        <w:rPr>
          <w:rFonts w:ascii="GalanoGrotesque-Medium" w:hAnsi="GalanoGrotesque-Medium" w:cs="Arial"/>
          <w:sz w:val="16"/>
          <w:szCs w:val="16"/>
        </w:rPr>
        <w:t>Ocupación y Empleo 2014</w:t>
      </w:r>
    </w:p>
    <w:p w14:paraId="3A83E27A" w14:textId="77777777" w:rsidR="0020095D" w:rsidRDefault="0020095D" w:rsidP="0020095D">
      <w:pPr>
        <w:pStyle w:val="NormalWeb"/>
        <w:shd w:val="clear" w:color="auto" w:fill="FFFFFF"/>
        <w:spacing w:before="0" w:beforeAutospacing="0" w:after="0" w:afterAutospacing="0" w:line="276" w:lineRule="auto"/>
        <w:jc w:val="center"/>
        <w:rPr>
          <w:rFonts w:ascii="GalanoGrotesque-Medium" w:hAnsi="GalanoGrotesque-Medium" w:cs="Arial"/>
        </w:rPr>
      </w:pPr>
      <w:r w:rsidRPr="001E02C4">
        <w:rPr>
          <w:rFonts w:ascii="GalanoGrotesque-Light" w:hAnsi="GalanoGrotesque-Light"/>
          <w:noProof/>
          <w:lang w:val="es-ES" w:eastAsia="es-ES"/>
        </w:rPr>
        <w:drawing>
          <wp:inline distT="0" distB="0" distL="0" distR="0" wp14:anchorId="272759D4" wp14:editId="4AB4CCA7">
            <wp:extent cx="3393519" cy="2772888"/>
            <wp:effectExtent l="0" t="0" r="0" b="8890"/>
            <wp:docPr id="5940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Grp="1"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02830" cy="2780496"/>
                    </a:xfrm>
                    <a:prstGeom prst="rect">
                      <a:avLst/>
                    </a:prstGeom>
                    <a:noFill/>
                    <a:ln>
                      <a:noFill/>
                    </a:ln>
                    <a:effectLst/>
                    <a:extLst/>
                  </pic:spPr>
                </pic:pic>
              </a:graphicData>
            </a:graphic>
          </wp:inline>
        </w:drawing>
      </w:r>
    </w:p>
    <w:p w14:paraId="709442FA" w14:textId="77777777" w:rsidR="0020095D" w:rsidRPr="00440D37" w:rsidRDefault="00440D37" w:rsidP="00440D37">
      <w:pPr>
        <w:pStyle w:val="NormalWeb"/>
        <w:shd w:val="clear" w:color="auto" w:fill="FFFFFF"/>
        <w:spacing w:before="0" w:beforeAutospacing="0" w:after="140" w:afterAutospacing="0" w:line="180" w:lineRule="exact"/>
        <w:rPr>
          <w:rFonts w:ascii="GalanoGrotesque-Medium" w:hAnsi="GalanoGrotesque-Medium" w:cs="Arial"/>
          <w:sz w:val="14"/>
          <w:szCs w:val="14"/>
        </w:rPr>
      </w:pPr>
      <w:r w:rsidRPr="00440D37">
        <w:rPr>
          <w:rFonts w:ascii="GalanoGrotesque-Medium" w:hAnsi="GalanoGrotesque-Medium" w:cs="GalanoGrotesque-Medium"/>
          <w:color w:val="414142"/>
          <w:sz w:val="14"/>
          <w:szCs w:val="14"/>
        </w:rPr>
        <w:t>Fuente: STPS - INEGI. Encuesta Nacional de Ocupación y Empleo 2014</w:t>
      </w:r>
    </w:p>
    <w:p w14:paraId="2D937980" w14:textId="77777777" w:rsidR="00935233" w:rsidRDefault="00440D37" w:rsidP="00440D37">
      <w:pPr>
        <w:spacing w:after="240" w:line="220" w:lineRule="exact"/>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Sin embargo, en Michoacán las distorsiones y la discriminación en el mercado laboral todavía restringen las opciones de las mujeres para acceder </w:t>
      </w:r>
      <w:r w:rsidR="0099134F" w:rsidRPr="001D48E8">
        <w:rPr>
          <w:rFonts w:ascii="MyriadPro-Regular" w:hAnsi="MyriadPro-Regular" w:cs="MyriadPro-Regular"/>
          <w:color w:val="414142"/>
          <w:sz w:val="20"/>
          <w:szCs w:val="20"/>
        </w:rPr>
        <w:t xml:space="preserve">a un empleo mejor remunerado. Prueba de ello es la escasa representación femenina en los puestos altos, tanto en el sector público como en el privado. </w:t>
      </w:r>
    </w:p>
    <w:p w14:paraId="02DA56CD" w14:textId="281879E4" w:rsidR="00FB5FD9" w:rsidRDefault="00FB5FD9" w:rsidP="00440D37">
      <w:pPr>
        <w:spacing w:after="240" w:line="220" w:lineRule="exact"/>
        <w:jc w:val="both"/>
        <w:rPr>
          <w:rFonts w:ascii="MyriadPro-Regular" w:hAnsi="MyriadPro-Regular" w:cs="MyriadPro-Regular"/>
          <w:color w:val="414142"/>
          <w:sz w:val="20"/>
          <w:szCs w:val="20"/>
        </w:rPr>
      </w:pPr>
      <w:r w:rsidRPr="001D48E8">
        <w:rPr>
          <w:rFonts w:ascii="MyriadPro-Regular" w:hAnsi="MyriadPro-Regular" w:cs="MyriadPro-Regular"/>
          <w:color w:val="414142"/>
          <w:sz w:val="20"/>
          <w:szCs w:val="20"/>
        </w:rPr>
        <w:t xml:space="preserve">En cuanto al acceso de oportunidades de la infancia y adolescencia en México, la UNICEF y el PNUD elaboraron el Índice de Desarrollo Humano (IDH) para niños, niñas y adolescentes que mide los logros en las dimensiones de salud, educación e ingreso y se expresa como un valor entre 0 y 1. Entre más cercano a uno, mayores niveles de desarrollo humano; en caso contrario, menores niveles o logros alcanzados. El indicador toma en cuenta el gasto público en educación y salud dirigido específicamente a la niñez y la adolescencia. Para el caso de Michoacán, dicho indicador mostró un resultado de 0.73 en 2012, lo que ubicó a la entidad en el lugar 26 por considerarse un rango de nivel bajo. Esto refleja </w:t>
      </w:r>
      <w:r w:rsidRPr="001D48E8">
        <w:rPr>
          <w:rFonts w:ascii="MyriadPro-Regular" w:hAnsi="MyriadPro-Regular" w:cs="MyriadPro-Regular"/>
          <w:color w:val="414142"/>
          <w:sz w:val="20"/>
          <w:szCs w:val="20"/>
        </w:rPr>
        <w:lastRenderedPageBreak/>
        <w:t>la escasa equidad del gast</w:t>
      </w:r>
      <w:r w:rsidR="000C24AB">
        <w:rPr>
          <w:rFonts w:ascii="MyriadPro-Regular" w:hAnsi="MyriadPro-Regular" w:cs="MyriadPro-Regular"/>
          <w:color w:val="414142"/>
          <w:sz w:val="20"/>
          <w:szCs w:val="20"/>
        </w:rPr>
        <w:t>o público para estos colectivos</w:t>
      </w:r>
      <w:r w:rsidR="00B32DC4">
        <w:rPr>
          <w:rFonts w:ascii="MyriadPro-Regular" w:hAnsi="MyriadPro-Regular" w:cs="MyriadPro-Regular"/>
          <w:color w:val="414142"/>
          <w:sz w:val="20"/>
          <w:szCs w:val="20"/>
        </w:rPr>
        <w:t>.</w:t>
      </w:r>
    </w:p>
    <w:p w14:paraId="478A84E1" w14:textId="77777777" w:rsidR="00B32DC4" w:rsidRDefault="00B32DC4" w:rsidP="00440D37">
      <w:pPr>
        <w:spacing w:after="240" w:line="220" w:lineRule="exact"/>
        <w:jc w:val="both"/>
        <w:rPr>
          <w:rFonts w:ascii="MyriadPro-Regular" w:hAnsi="MyriadPro-Regular" w:cs="MyriadPro-Regular"/>
          <w:color w:val="414142"/>
          <w:sz w:val="20"/>
          <w:szCs w:val="20"/>
        </w:rPr>
      </w:pPr>
    </w:p>
    <w:p w14:paraId="4E08E49D" w14:textId="77777777" w:rsidR="00B32DC4" w:rsidRDefault="00B32DC4" w:rsidP="00440D37">
      <w:pPr>
        <w:spacing w:after="240" w:line="220" w:lineRule="exact"/>
        <w:jc w:val="both"/>
        <w:rPr>
          <w:rFonts w:ascii="GalanoGrotesque-Medium" w:hAnsi="GalanoGrotesque-Medium" w:cs="Arial"/>
        </w:rPr>
        <w:sectPr w:rsidR="00B32DC4" w:rsidSect="0099134F">
          <w:footnotePr>
            <w:numStart w:val="4"/>
          </w:footnotePr>
          <w:pgSz w:w="12240" w:h="15840"/>
          <w:pgMar w:top="1418" w:right="1134" w:bottom="1418" w:left="1134" w:header="709" w:footer="709" w:gutter="0"/>
          <w:cols w:num="2" w:space="567"/>
          <w:docGrid w:linePitch="360"/>
        </w:sectPr>
      </w:pPr>
    </w:p>
    <w:p w14:paraId="0D40B232" w14:textId="19269A76" w:rsidR="00FB5FD9" w:rsidRPr="00440D37" w:rsidRDefault="00FB5FD9" w:rsidP="00440D37">
      <w:pPr>
        <w:spacing w:after="0" w:line="240" w:lineRule="auto"/>
        <w:jc w:val="center"/>
        <w:rPr>
          <w:rFonts w:ascii="GalanoGrotesque-Medium" w:hAnsi="GalanoGrotesque-Medium" w:cs="Arial"/>
          <w:b/>
          <w:sz w:val="16"/>
          <w:szCs w:val="16"/>
        </w:rPr>
      </w:pPr>
      <w:r w:rsidRPr="00440D37">
        <w:rPr>
          <w:rFonts w:ascii="GalanoGrotesque-Medium" w:hAnsi="GalanoGrotesque-Medium" w:cs="Arial"/>
          <w:b/>
          <w:sz w:val="16"/>
          <w:szCs w:val="16"/>
        </w:rPr>
        <w:lastRenderedPageBreak/>
        <w:t>Tabla 8.2</w:t>
      </w:r>
    </w:p>
    <w:p w14:paraId="0600D2BB" w14:textId="77777777" w:rsidR="00FB5FD9" w:rsidRPr="00440D37" w:rsidRDefault="00FB5FD9" w:rsidP="00440D37">
      <w:pPr>
        <w:spacing w:after="0" w:line="240" w:lineRule="auto"/>
        <w:jc w:val="center"/>
        <w:rPr>
          <w:rFonts w:ascii="GalanoGrotesque-Medium" w:hAnsi="GalanoGrotesque-Medium" w:cs="Arial"/>
          <w:sz w:val="16"/>
          <w:szCs w:val="16"/>
        </w:rPr>
      </w:pPr>
      <w:r w:rsidRPr="00440D37">
        <w:rPr>
          <w:rFonts w:ascii="GalanoGrotesque-Medium" w:hAnsi="GalanoGrotesque-Medium" w:cs="Arial"/>
          <w:sz w:val="16"/>
          <w:szCs w:val="16"/>
        </w:rPr>
        <w:t>Indicadores de cohesión social e igualdad sustantiva</w:t>
      </w:r>
    </w:p>
    <w:p w14:paraId="2F15D931" w14:textId="790072FC" w:rsidR="00440D37" w:rsidRDefault="00B32DC4" w:rsidP="000C24AB">
      <w:pPr>
        <w:spacing w:after="240" w:line="240" w:lineRule="auto"/>
        <w:jc w:val="both"/>
        <w:rPr>
          <w:rFonts w:ascii="MyriadPro-Regular" w:hAnsi="MyriadPro-Regular" w:cs="MyriadPro-Regular"/>
          <w:color w:val="414142"/>
          <w:sz w:val="20"/>
          <w:szCs w:val="20"/>
        </w:rPr>
      </w:pPr>
      <w:r>
        <w:rPr>
          <w:noProof/>
          <w:lang w:val="es-ES" w:eastAsia="es-ES"/>
        </w:rPr>
        <w:drawing>
          <wp:anchor distT="0" distB="0" distL="114300" distR="114300" simplePos="0" relativeHeight="251777536" behindDoc="0" locked="0" layoutInCell="1" allowOverlap="1" wp14:anchorId="4B8AC911" wp14:editId="399898B0">
            <wp:simplePos x="0" y="0"/>
            <wp:positionH relativeFrom="margin">
              <wp:posOffset>604775</wp:posOffset>
            </wp:positionH>
            <wp:positionV relativeFrom="page">
              <wp:posOffset>1863280</wp:posOffset>
            </wp:positionV>
            <wp:extent cx="5170805" cy="2095500"/>
            <wp:effectExtent l="0" t="0" r="0" b="0"/>
            <wp:wrapSquare wrapText="bothSides"/>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70805" cy="2095500"/>
                    </a:xfrm>
                    <a:prstGeom prst="rect">
                      <a:avLst/>
                    </a:prstGeom>
                    <a:noFill/>
                    <a:extLst/>
                  </pic:spPr>
                </pic:pic>
              </a:graphicData>
            </a:graphic>
            <wp14:sizeRelH relativeFrom="margin">
              <wp14:pctWidth>0</wp14:pctWidth>
            </wp14:sizeRelH>
            <wp14:sizeRelV relativeFrom="margin">
              <wp14:pctHeight>0</wp14:pctHeight>
            </wp14:sizeRelV>
          </wp:anchor>
        </w:drawing>
      </w:r>
    </w:p>
    <w:p w14:paraId="743A0A75" w14:textId="77777777" w:rsidR="00440D37" w:rsidRDefault="00440D37" w:rsidP="000C24AB">
      <w:pPr>
        <w:spacing w:after="240" w:line="240" w:lineRule="auto"/>
        <w:jc w:val="both"/>
        <w:rPr>
          <w:rFonts w:ascii="MyriadPro-Regular" w:hAnsi="MyriadPro-Regular" w:cs="MyriadPro-Regular"/>
          <w:color w:val="414142"/>
          <w:sz w:val="20"/>
          <w:szCs w:val="20"/>
        </w:rPr>
        <w:sectPr w:rsidR="00440D37" w:rsidSect="00440D37">
          <w:footnotePr>
            <w:numStart w:val="4"/>
          </w:footnotePr>
          <w:type w:val="continuous"/>
          <w:pgSz w:w="12240" w:h="15840"/>
          <w:pgMar w:top="1418" w:right="1134" w:bottom="1418" w:left="1134" w:header="709" w:footer="709" w:gutter="0"/>
          <w:cols w:space="567"/>
          <w:docGrid w:linePitch="360"/>
        </w:sectPr>
      </w:pPr>
    </w:p>
    <w:p w14:paraId="6D3C5705" w14:textId="77777777" w:rsidR="00B32DC4" w:rsidRDefault="00B32DC4" w:rsidP="000C24AB">
      <w:pPr>
        <w:spacing w:after="240" w:line="240" w:lineRule="auto"/>
        <w:jc w:val="both"/>
        <w:rPr>
          <w:rFonts w:ascii="MyriadPro-Regular" w:hAnsi="MyriadPro-Regular" w:cs="MyriadPro-Regular"/>
          <w:color w:val="414142"/>
          <w:sz w:val="20"/>
          <w:szCs w:val="20"/>
        </w:rPr>
      </w:pPr>
    </w:p>
    <w:p w14:paraId="3EE35AA5" w14:textId="77777777" w:rsidR="00B32DC4" w:rsidRDefault="00B32DC4" w:rsidP="000C24AB">
      <w:pPr>
        <w:spacing w:after="240" w:line="240" w:lineRule="auto"/>
        <w:jc w:val="both"/>
        <w:rPr>
          <w:rFonts w:ascii="MyriadPro-Regular" w:hAnsi="MyriadPro-Regular" w:cs="MyriadPro-Regular"/>
          <w:color w:val="414142"/>
          <w:sz w:val="20"/>
          <w:szCs w:val="20"/>
        </w:rPr>
      </w:pPr>
    </w:p>
    <w:p w14:paraId="33194149" w14:textId="77777777" w:rsidR="00B32DC4" w:rsidRDefault="00B32DC4" w:rsidP="000C24AB">
      <w:pPr>
        <w:spacing w:after="240" w:line="240" w:lineRule="auto"/>
        <w:jc w:val="both"/>
        <w:rPr>
          <w:rFonts w:ascii="MyriadPro-Regular" w:hAnsi="MyriadPro-Regular" w:cs="MyriadPro-Regular"/>
          <w:color w:val="414142"/>
          <w:sz w:val="20"/>
          <w:szCs w:val="20"/>
        </w:rPr>
      </w:pPr>
    </w:p>
    <w:p w14:paraId="6AEA6316" w14:textId="77777777" w:rsidR="00B32DC4" w:rsidRDefault="00B32DC4" w:rsidP="000C24AB">
      <w:pPr>
        <w:spacing w:after="240" w:line="240" w:lineRule="auto"/>
        <w:jc w:val="both"/>
        <w:rPr>
          <w:rFonts w:ascii="MyriadPro-Regular" w:hAnsi="MyriadPro-Regular" w:cs="MyriadPro-Regular"/>
          <w:color w:val="414142"/>
          <w:sz w:val="20"/>
          <w:szCs w:val="20"/>
        </w:rPr>
      </w:pPr>
    </w:p>
    <w:p w14:paraId="3CE82D77" w14:textId="77777777" w:rsidR="00B32DC4" w:rsidRDefault="00B32DC4" w:rsidP="000C24AB">
      <w:pPr>
        <w:spacing w:after="240" w:line="240" w:lineRule="auto"/>
        <w:jc w:val="both"/>
        <w:rPr>
          <w:rFonts w:ascii="MyriadPro-Regular" w:hAnsi="MyriadPro-Regular" w:cs="MyriadPro-Regular"/>
          <w:color w:val="414142"/>
          <w:sz w:val="20"/>
          <w:szCs w:val="20"/>
        </w:rPr>
      </w:pPr>
    </w:p>
    <w:p w14:paraId="32250C6B" w14:textId="77777777" w:rsidR="00B32DC4" w:rsidRDefault="00B32DC4" w:rsidP="000C24AB">
      <w:pPr>
        <w:spacing w:after="240" w:line="240" w:lineRule="auto"/>
        <w:jc w:val="both"/>
        <w:rPr>
          <w:rFonts w:ascii="MyriadPro-Regular" w:hAnsi="MyriadPro-Regular" w:cs="MyriadPro-Regular"/>
          <w:color w:val="414142"/>
          <w:sz w:val="20"/>
          <w:szCs w:val="20"/>
        </w:rPr>
      </w:pPr>
    </w:p>
    <w:p w14:paraId="525A24B6" w14:textId="77777777" w:rsidR="00B32DC4" w:rsidRDefault="00B32DC4" w:rsidP="000C24AB">
      <w:pPr>
        <w:spacing w:after="240" w:line="240" w:lineRule="auto"/>
        <w:jc w:val="both"/>
        <w:rPr>
          <w:rFonts w:ascii="MyriadPro-Regular" w:hAnsi="MyriadPro-Regular" w:cs="MyriadPro-Regular"/>
          <w:color w:val="414142"/>
          <w:sz w:val="20"/>
          <w:szCs w:val="20"/>
        </w:rPr>
      </w:pPr>
    </w:p>
    <w:p w14:paraId="3F4AFC50" w14:textId="77777777" w:rsidR="00B32DC4" w:rsidRDefault="00B32DC4" w:rsidP="000C24AB">
      <w:pPr>
        <w:spacing w:after="240" w:line="240" w:lineRule="auto"/>
        <w:jc w:val="both"/>
        <w:rPr>
          <w:rFonts w:ascii="MyriadPro-Regular" w:hAnsi="MyriadPro-Regular" w:cs="MyriadPro-Regular"/>
          <w:color w:val="414142"/>
          <w:sz w:val="20"/>
          <w:szCs w:val="20"/>
        </w:rPr>
        <w:sectPr w:rsidR="00B32DC4" w:rsidSect="00F32CC0">
          <w:footnotePr>
            <w:numStart w:val="4"/>
          </w:footnotePr>
          <w:type w:val="continuous"/>
          <w:pgSz w:w="12240" w:h="15840"/>
          <w:pgMar w:top="1418" w:right="1134" w:bottom="1418" w:left="1134" w:header="709" w:footer="709" w:gutter="0"/>
          <w:cols w:space="567"/>
          <w:docGrid w:linePitch="360"/>
        </w:sectPr>
      </w:pPr>
    </w:p>
    <w:p w14:paraId="71B02CA7" w14:textId="140FDAD6" w:rsidR="00FB5FD9" w:rsidRPr="00954EE2" w:rsidRDefault="00FB5FD9" w:rsidP="000C24AB">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lastRenderedPageBreak/>
        <w:t xml:space="preserve">Por otra parte, la migración es un fenómeno asociado a la percepción de oportunidades de la comunidad. En este sentido, la intensidad migratoria es un reflejo del grado de cohesión social en un territorio. </w:t>
      </w:r>
    </w:p>
    <w:p w14:paraId="0EADF024" w14:textId="77777777" w:rsidR="00FB5FD9" w:rsidRPr="00954EE2" w:rsidRDefault="00FB5FD9" w:rsidP="000C24AB">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 xml:space="preserve">El Consejo Nacional de Población realiza continuamente estudios y construye indicadores sobre la migración mexicana a Estados Unidos para lograr un mayor conocimiento y comprensión de sus causas, cambios e impactos. El Índice de Intensidad Migratoria México-Estados Unidos para el año 2010 es una medida resumen que permite diferenciar las distintas modalidades de la migración al país vecino y de la recepción de remesas.  </w:t>
      </w:r>
    </w:p>
    <w:p w14:paraId="484079FB" w14:textId="77777777" w:rsidR="00F32CC0" w:rsidRDefault="00F32CC0" w:rsidP="000C24AB">
      <w:pPr>
        <w:spacing w:after="240" w:line="240" w:lineRule="auto"/>
        <w:jc w:val="both"/>
        <w:rPr>
          <w:rFonts w:ascii="MyriadPro-Regular" w:hAnsi="MyriadPro-Regular" w:cs="MyriadPro-Regular"/>
          <w:color w:val="414142"/>
          <w:sz w:val="20"/>
          <w:szCs w:val="20"/>
        </w:rPr>
      </w:pPr>
    </w:p>
    <w:p w14:paraId="41E25717" w14:textId="7F3E0747" w:rsidR="00FB5FD9" w:rsidRPr="000C24AB" w:rsidRDefault="00FB5FD9" w:rsidP="000C24AB">
      <w:pPr>
        <w:spacing w:after="240" w:line="240" w:lineRule="auto"/>
        <w:jc w:val="both"/>
        <w:rPr>
          <w:rFonts w:ascii="MyriadPro-Regular" w:hAnsi="MyriadPro-Regular" w:cs="MyriadPro-Regular"/>
          <w:color w:val="414142"/>
          <w:sz w:val="20"/>
          <w:szCs w:val="20"/>
        </w:rPr>
        <w:sectPr w:rsidR="00FB5FD9" w:rsidRPr="000C24AB" w:rsidSect="00B32DC4">
          <w:footnotePr>
            <w:numStart w:val="4"/>
          </w:footnotePr>
          <w:type w:val="continuous"/>
          <w:pgSz w:w="12240" w:h="15840"/>
          <w:pgMar w:top="1418" w:right="1134" w:bottom="1418" w:left="1134" w:header="709" w:footer="709" w:gutter="0"/>
          <w:cols w:num="2" w:space="567"/>
          <w:docGrid w:linePitch="360"/>
        </w:sectPr>
      </w:pPr>
      <w:r w:rsidRPr="00954EE2">
        <w:rPr>
          <w:rFonts w:ascii="MyriadPro-Regular" w:hAnsi="MyriadPro-Regular" w:cs="MyriadPro-Regular"/>
          <w:color w:val="414142"/>
          <w:sz w:val="20"/>
          <w:szCs w:val="20"/>
        </w:rPr>
        <w:t xml:space="preserve">Michoacán es el principal receptor de remesas en el país y el segundo expulsor de migrantes hacia los Estados Unidos. Por ello, la entidad tiene un Índice de Intensidad Migratorio alto. En general en toda la entidad se observan flujos migratorios con diversa intensidad, aunque ésta se concentra en algunos municipios. En la Gráfica 8.1 se puede observar que las regiones con más municipios de intensidad muy alta de migración son Lerma-Chapala, Bajío, </w:t>
      </w:r>
      <w:proofErr w:type="spellStart"/>
      <w:r w:rsidRPr="00954EE2">
        <w:rPr>
          <w:rFonts w:ascii="MyriadPro-Regular" w:hAnsi="MyriadPro-Regular" w:cs="MyriadPro-Regular"/>
          <w:color w:val="414142"/>
          <w:sz w:val="20"/>
          <w:szCs w:val="20"/>
        </w:rPr>
        <w:t>Cuitzeo</w:t>
      </w:r>
      <w:proofErr w:type="spellEnd"/>
      <w:r w:rsidRPr="00954EE2">
        <w:rPr>
          <w:rFonts w:ascii="MyriadPro-Regular" w:hAnsi="MyriadPro-Regular" w:cs="MyriadPro-Regular"/>
          <w:color w:val="414142"/>
          <w:sz w:val="20"/>
          <w:szCs w:val="20"/>
        </w:rPr>
        <w:t xml:space="preserve"> y Oriente. En las regiones Oriente, Tepalcatepec y Pátzcuaro-</w:t>
      </w:r>
      <w:proofErr w:type="spellStart"/>
      <w:r w:rsidRPr="00954EE2">
        <w:rPr>
          <w:rFonts w:ascii="MyriadPro-Regular" w:hAnsi="MyriadPro-Regular" w:cs="MyriadPro-Regular"/>
          <w:color w:val="414142"/>
          <w:sz w:val="20"/>
          <w:szCs w:val="20"/>
        </w:rPr>
        <w:t>Zirahuén</w:t>
      </w:r>
      <w:proofErr w:type="spellEnd"/>
      <w:r w:rsidRPr="00954EE2">
        <w:rPr>
          <w:rFonts w:ascii="MyriadPro-Regular" w:hAnsi="MyriadPro-Regular" w:cs="MyriadPro-Regular"/>
          <w:color w:val="414142"/>
          <w:sz w:val="20"/>
          <w:szCs w:val="20"/>
        </w:rPr>
        <w:t xml:space="preserve"> se observa un solo municipio con muy alta intensidad m</w:t>
      </w:r>
      <w:r w:rsidR="000C24AB">
        <w:rPr>
          <w:rFonts w:ascii="MyriadPro-Regular" w:hAnsi="MyriadPro-Regular" w:cs="MyriadPro-Regular"/>
          <w:color w:val="414142"/>
          <w:sz w:val="20"/>
          <w:szCs w:val="20"/>
        </w:rPr>
        <w:t>igratoria en cada una de ella</w:t>
      </w:r>
      <w:r w:rsidR="00B32DC4">
        <w:rPr>
          <w:rFonts w:ascii="MyriadPro-Regular" w:hAnsi="MyriadPro-Regular" w:cs="MyriadPro-Regular"/>
          <w:color w:val="414142"/>
          <w:sz w:val="20"/>
          <w:szCs w:val="20"/>
        </w:rPr>
        <w:t>s.</w:t>
      </w:r>
    </w:p>
    <w:p w14:paraId="13E180CA"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sectPr w:rsidR="00F32CC0" w:rsidSect="00FB5FD9">
          <w:footnotePr>
            <w:numStart w:val="4"/>
          </w:footnotePr>
          <w:type w:val="continuous"/>
          <w:pgSz w:w="12240" w:h="15840"/>
          <w:pgMar w:top="1418" w:right="1134" w:bottom="1418" w:left="1134" w:header="709" w:footer="709" w:gutter="0"/>
          <w:cols w:space="567"/>
          <w:docGrid w:linePitch="360"/>
        </w:sectPr>
      </w:pPr>
    </w:p>
    <w:p w14:paraId="3CB06653" w14:textId="6C94648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56525D03"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30C71448"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6061DFFA"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25DA6126"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45CDB4CA"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7F9D75E2"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56C04A66"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29F30917"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6BB08F9E"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6F829F8D"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012FC782"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21056D44"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683D9588"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1D9E60DB"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5FF676A4"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0D325D8E"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603BBA3F"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6E64DC6C"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2E691DC3"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11A78581"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62B95A29" w14:textId="77777777" w:rsidR="00F32CC0" w:rsidRDefault="00F32CC0"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p>
    <w:p w14:paraId="2333E82C" w14:textId="77777777" w:rsidR="00FB5FD9" w:rsidRPr="00440D37" w:rsidRDefault="00FB5FD9" w:rsidP="000C24AB">
      <w:pPr>
        <w:autoSpaceDE w:val="0"/>
        <w:autoSpaceDN w:val="0"/>
        <w:adjustRightInd w:val="0"/>
        <w:spacing w:after="0" w:line="200" w:lineRule="exact"/>
        <w:jc w:val="center"/>
        <w:rPr>
          <w:rFonts w:ascii="GalanoGrotesque-Medium" w:eastAsia="Times New Roman" w:hAnsi="GalanoGrotesque-Medium" w:cs="Arial"/>
          <w:b/>
          <w:sz w:val="16"/>
          <w:szCs w:val="16"/>
          <w:lang w:val="es-ES" w:eastAsia="es-ES"/>
        </w:rPr>
      </w:pPr>
      <w:r w:rsidRPr="00440D37">
        <w:rPr>
          <w:rFonts w:ascii="GalanoGrotesque-Medium" w:eastAsia="Times New Roman" w:hAnsi="GalanoGrotesque-Medium" w:cs="Arial"/>
          <w:b/>
          <w:sz w:val="16"/>
          <w:szCs w:val="16"/>
          <w:lang w:val="es-ES" w:eastAsia="es-ES"/>
        </w:rPr>
        <w:t>Gráfica 8.1</w:t>
      </w:r>
    </w:p>
    <w:p w14:paraId="195E9928" w14:textId="77777777" w:rsidR="00FB5FD9" w:rsidRPr="00440D37" w:rsidRDefault="00FB5FD9" w:rsidP="000C24AB">
      <w:pPr>
        <w:autoSpaceDE w:val="0"/>
        <w:autoSpaceDN w:val="0"/>
        <w:adjustRightInd w:val="0"/>
        <w:spacing w:after="0" w:line="200" w:lineRule="exact"/>
        <w:jc w:val="center"/>
        <w:rPr>
          <w:rFonts w:ascii="GalanoGrotesque-Medium" w:eastAsia="Times New Roman" w:hAnsi="GalanoGrotesque-Medium" w:cs="Arial"/>
          <w:sz w:val="16"/>
          <w:szCs w:val="16"/>
          <w:lang w:val="es-ES" w:eastAsia="es-ES"/>
        </w:rPr>
      </w:pPr>
      <w:r w:rsidRPr="00440D37">
        <w:rPr>
          <w:rFonts w:ascii="GalanoGrotesque-Medium" w:eastAsia="Times New Roman" w:hAnsi="GalanoGrotesque-Medium" w:cs="Arial"/>
          <w:sz w:val="16"/>
          <w:szCs w:val="16"/>
          <w:lang w:val="es-ES" w:eastAsia="es-ES"/>
        </w:rPr>
        <w:t>Índice de Intensidad Migratoria por Municipio</w:t>
      </w:r>
    </w:p>
    <w:p w14:paraId="5D265DB5" w14:textId="77777777" w:rsidR="00FB5FD9" w:rsidRPr="00FB5FD9" w:rsidRDefault="00FB5FD9" w:rsidP="00FB5FD9">
      <w:pPr>
        <w:shd w:val="clear" w:color="auto" w:fill="FFFFFF"/>
        <w:spacing w:after="107"/>
        <w:jc w:val="center"/>
        <w:rPr>
          <w:rFonts w:ascii="GalanoGrotesque-Medium" w:hAnsi="GalanoGrotesque-Medium" w:cs="Arial"/>
          <w:sz w:val="24"/>
          <w:szCs w:val="24"/>
        </w:rPr>
      </w:pPr>
      <w:r w:rsidRPr="00FB5FD9">
        <w:rPr>
          <w:rFonts w:ascii="GalanoGrotesque-Medium" w:eastAsia="Times New Roman" w:hAnsi="GalanoGrotesque-Medium" w:cs="Times New Roman"/>
          <w:noProof/>
          <w:sz w:val="24"/>
          <w:szCs w:val="24"/>
          <w:lang w:val="es-ES" w:eastAsia="es-ES"/>
        </w:rPr>
        <w:drawing>
          <wp:inline distT="0" distB="0" distL="0" distR="0" wp14:anchorId="7645E8B3" wp14:editId="5EA04149">
            <wp:extent cx="4678878" cy="3001173"/>
            <wp:effectExtent l="0" t="0" r="7620" b="8890"/>
            <wp:docPr id="75792" name="Imagen 7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98071" cy="3013484"/>
                    </a:xfrm>
                    <a:prstGeom prst="rect">
                      <a:avLst/>
                    </a:prstGeom>
                  </pic:spPr>
                </pic:pic>
              </a:graphicData>
            </a:graphic>
          </wp:inline>
        </w:drawing>
      </w:r>
    </w:p>
    <w:p w14:paraId="23E5E237" w14:textId="77777777" w:rsidR="00FB5FD9" w:rsidRPr="000C24AB" w:rsidRDefault="00FB5FD9" w:rsidP="00935233">
      <w:pPr>
        <w:shd w:val="clear" w:color="auto" w:fill="FFFFFF"/>
        <w:spacing w:after="107"/>
        <w:ind w:left="1276"/>
        <w:rPr>
          <w:rFonts w:ascii="GalanoGrotesque-Regular" w:hAnsi="GalanoGrotesque-Regular" w:cs="Arial"/>
          <w:sz w:val="16"/>
          <w:szCs w:val="16"/>
        </w:rPr>
      </w:pPr>
      <w:r w:rsidRPr="000C24AB">
        <w:rPr>
          <w:rFonts w:ascii="MyriadPro-Regular" w:hAnsi="MyriadPro-Regular" w:cs="Arial"/>
          <w:sz w:val="16"/>
          <w:szCs w:val="16"/>
        </w:rPr>
        <w:t>Fuente: Elaboración propia, Coordinación General de Gabinete y Planeación del Gobierno de Michoacán</w:t>
      </w:r>
      <w:r w:rsidRPr="000C24AB">
        <w:rPr>
          <w:rFonts w:ascii="GalanoGrotesque-Regular" w:hAnsi="GalanoGrotesque-Regular" w:cs="Arial"/>
          <w:sz w:val="16"/>
          <w:szCs w:val="16"/>
        </w:rPr>
        <w:t>.</w:t>
      </w:r>
    </w:p>
    <w:p w14:paraId="45241C51" w14:textId="77777777" w:rsidR="00FB5FD9" w:rsidRDefault="00FB5FD9" w:rsidP="00FB5FD9">
      <w:pPr>
        <w:spacing w:after="240"/>
        <w:jc w:val="both"/>
        <w:rPr>
          <w:rFonts w:ascii="GalanoGrotesque-Medium" w:eastAsia="Times New Roman" w:hAnsi="GalanoGrotesque-Medium" w:cs="Arial"/>
          <w:sz w:val="24"/>
          <w:szCs w:val="24"/>
          <w:lang w:val="es-ES" w:eastAsia="es-ES"/>
        </w:rPr>
        <w:sectPr w:rsidR="00FB5FD9" w:rsidSect="00FB5FD9">
          <w:footnotePr>
            <w:numStart w:val="4"/>
          </w:footnotePr>
          <w:type w:val="continuous"/>
          <w:pgSz w:w="12240" w:h="15840"/>
          <w:pgMar w:top="1418" w:right="1134" w:bottom="1418" w:left="1134" w:header="709" w:footer="709" w:gutter="0"/>
          <w:cols w:space="567"/>
          <w:docGrid w:linePitch="360"/>
        </w:sectPr>
      </w:pPr>
    </w:p>
    <w:p w14:paraId="155F1C15" w14:textId="77777777" w:rsidR="00FB5FD9" w:rsidRPr="00954EE2" w:rsidRDefault="00FB5FD9" w:rsidP="00DD1672">
      <w:pPr>
        <w:spacing w:after="240"/>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lastRenderedPageBreak/>
        <w:t>Asimismo, la alta percepción de inseguridad, el deterioro de los espacios públicos, la escasa convivencia vecinal y participación social en algunos ámbitos, son  fenómenos que también debilitan el tejido social y han provocado violencia entre los habitantes del Estado.</w:t>
      </w:r>
    </w:p>
    <w:p w14:paraId="7CC4FE22" w14:textId="77777777" w:rsidR="00FB5FD9" w:rsidRDefault="00FB5FD9" w:rsidP="00DD1672">
      <w:pPr>
        <w:spacing w:after="240"/>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Según la Organización Mundial de la Salud, un 70% de las mujeres y niñas sufren violencia durante su vida, por lo que la persistencia de desigualdades por razones de género obliga a impulsar acciones para proteger el derecho de las mujeres a la seguridad de su integridad física y socioemocional.</w:t>
      </w:r>
    </w:p>
    <w:p w14:paraId="2C565A82" w14:textId="77777777" w:rsidR="00FB5FD9" w:rsidRDefault="00FB5FD9" w:rsidP="00DD1672">
      <w:pPr>
        <w:spacing w:after="240"/>
        <w:jc w:val="both"/>
        <w:rPr>
          <w:rFonts w:ascii="MyriadPro-Regular" w:eastAsia="Times New Roman" w:hAnsi="MyriadPro-Regular" w:cs="Arial"/>
          <w:color w:val="595959" w:themeColor="text1" w:themeTint="A6"/>
          <w:sz w:val="20"/>
          <w:szCs w:val="20"/>
          <w:lang w:val="es-ES" w:eastAsia="es-MX"/>
        </w:rPr>
      </w:pPr>
      <w:r w:rsidRPr="00B51EA8">
        <w:rPr>
          <w:rFonts w:ascii="MyriadPro-Regular" w:hAnsi="MyriadPro-Regular" w:cs="MyriadPro-Regular"/>
          <w:color w:val="414142"/>
          <w:sz w:val="20"/>
          <w:szCs w:val="20"/>
        </w:rPr>
        <w:t xml:space="preserve">En el contexto nacional, de acuerdo al Censo Nacional de Procuración de Justicia Estatal (CNPJE), en 2014 se registraron 2,289 feminicidios, lo que significa un promedio de 6.3 casos al día. Esto quiere decir que hay 3.7 asesinatos de mujeres por cada cien mil. En 2013 la situación era aún más grave, ya que se registraron siete casos en promedio </w:t>
      </w:r>
      <w:r w:rsidRPr="00B51EA8">
        <w:rPr>
          <w:rFonts w:ascii="MyriadPro-Regular" w:hAnsi="MyriadPro-Regular" w:cs="MyriadPro-Regular"/>
          <w:color w:val="595959" w:themeColor="text1" w:themeTint="A6"/>
          <w:sz w:val="20"/>
          <w:szCs w:val="20"/>
        </w:rPr>
        <w:t>a</w:t>
      </w:r>
      <w:r w:rsidRPr="00B51EA8">
        <w:rPr>
          <w:rFonts w:ascii="MyriadPro-Regular" w:eastAsia="Times New Roman" w:hAnsi="MyriadPro-Regular" w:cs="Arial"/>
          <w:color w:val="595959" w:themeColor="text1" w:themeTint="A6"/>
          <w:sz w:val="20"/>
          <w:szCs w:val="20"/>
          <w:lang w:val="es-ES" w:eastAsia="es-MX"/>
        </w:rPr>
        <w:t>l día, con una tasa de 4.3 por cada cien mil mujeres.</w:t>
      </w:r>
    </w:p>
    <w:p w14:paraId="2482F094" w14:textId="77777777" w:rsidR="00F32CC0" w:rsidRDefault="00F32CC0" w:rsidP="00440D37">
      <w:pPr>
        <w:widowControl w:val="0"/>
        <w:autoSpaceDE w:val="0"/>
        <w:autoSpaceDN w:val="0"/>
        <w:adjustRightInd w:val="0"/>
        <w:spacing w:after="0" w:line="240" w:lineRule="atLeast"/>
        <w:jc w:val="center"/>
        <w:rPr>
          <w:rFonts w:ascii="GalanoGrotesque-Medium" w:eastAsia="Times New Roman" w:hAnsi="GalanoGrotesque-Medium" w:cs="Arial"/>
          <w:b/>
          <w:sz w:val="16"/>
          <w:szCs w:val="16"/>
          <w:lang w:val="es-ES" w:eastAsia="es-ES"/>
        </w:rPr>
      </w:pPr>
    </w:p>
    <w:p w14:paraId="4E541FDA" w14:textId="77777777" w:rsidR="00F32CC0" w:rsidRDefault="00F32CC0" w:rsidP="00440D37">
      <w:pPr>
        <w:widowControl w:val="0"/>
        <w:autoSpaceDE w:val="0"/>
        <w:autoSpaceDN w:val="0"/>
        <w:adjustRightInd w:val="0"/>
        <w:spacing w:after="0" w:line="240" w:lineRule="atLeast"/>
        <w:jc w:val="center"/>
        <w:rPr>
          <w:rFonts w:ascii="GalanoGrotesque-Medium" w:eastAsia="Times New Roman" w:hAnsi="GalanoGrotesque-Medium" w:cs="Arial"/>
          <w:b/>
          <w:sz w:val="16"/>
          <w:szCs w:val="16"/>
          <w:lang w:val="es-ES" w:eastAsia="es-ES"/>
        </w:rPr>
      </w:pPr>
    </w:p>
    <w:p w14:paraId="0C56CFFB" w14:textId="77777777" w:rsidR="00F32CC0" w:rsidRDefault="00F32CC0" w:rsidP="00440D37">
      <w:pPr>
        <w:widowControl w:val="0"/>
        <w:autoSpaceDE w:val="0"/>
        <w:autoSpaceDN w:val="0"/>
        <w:adjustRightInd w:val="0"/>
        <w:spacing w:after="0" w:line="240" w:lineRule="atLeast"/>
        <w:jc w:val="center"/>
        <w:rPr>
          <w:rFonts w:ascii="GalanoGrotesque-Medium" w:eastAsia="Times New Roman" w:hAnsi="GalanoGrotesque-Medium" w:cs="Arial"/>
          <w:b/>
          <w:sz w:val="16"/>
          <w:szCs w:val="16"/>
          <w:lang w:val="es-ES" w:eastAsia="es-ES"/>
        </w:rPr>
      </w:pPr>
    </w:p>
    <w:p w14:paraId="7975853B" w14:textId="77777777" w:rsidR="00F32CC0" w:rsidRDefault="00F32CC0" w:rsidP="00440D37">
      <w:pPr>
        <w:widowControl w:val="0"/>
        <w:autoSpaceDE w:val="0"/>
        <w:autoSpaceDN w:val="0"/>
        <w:adjustRightInd w:val="0"/>
        <w:spacing w:after="0" w:line="240" w:lineRule="atLeast"/>
        <w:jc w:val="center"/>
        <w:rPr>
          <w:rFonts w:ascii="GalanoGrotesque-Medium" w:eastAsia="Times New Roman" w:hAnsi="GalanoGrotesque-Medium" w:cs="Arial"/>
          <w:b/>
          <w:sz w:val="16"/>
          <w:szCs w:val="16"/>
          <w:lang w:val="es-ES" w:eastAsia="es-ES"/>
        </w:rPr>
      </w:pPr>
    </w:p>
    <w:p w14:paraId="2C85195A" w14:textId="77777777" w:rsidR="00F32CC0" w:rsidRDefault="00F32CC0" w:rsidP="00440D37">
      <w:pPr>
        <w:widowControl w:val="0"/>
        <w:autoSpaceDE w:val="0"/>
        <w:autoSpaceDN w:val="0"/>
        <w:adjustRightInd w:val="0"/>
        <w:spacing w:after="0" w:line="240" w:lineRule="atLeast"/>
        <w:jc w:val="center"/>
        <w:rPr>
          <w:rFonts w:ascii="GalanoGrotesque-Medium" w:eastAsia="Times New Roman" w:hAnsi="GalanoGrotesque-Medium" w:cs="Arial"/>
          <w:b/>
          <w:sz w:val="16"/>
          <w:szCs w:val="16"/>
          <w:lang w:val="es-ES" w:eastAsia="es-ES"/>
        </w:rPr>
      </w:pPr>
    </w:p>
    <w:p w14:paraId="07DB0652" w14:textId="77777777" w:rsidR="00B51EA8" w:rsidRPr="00440D37" w:rsidRDefault="00B51EA8" w:rsidP="00440D37">
      <w:pPr>
        <w:widowControl w:val="0"/>
        <w:autoSpaceDE w:val="0"/>
        <w:autoSpaceDN w:val="0"/>
        <w:adjustRightInd w:val="0"/>
        <w:spacing w:after="0" w:line="240" w:lineRule="atLeast"/>
        <w:jc w:val="center"/>
        <w:rPr>
          <w:rFonts w:ascii="GalanoGrotesque-Medium" w:eastAsia="Times New Roman" w:hAnsi="GalanoGrotesque-Medium" w:cs="Arial"/>
          <w:b/>
          <w:sz w:val="16"/>
          <w:szCs w:val="16"/>
          <w:lang w:val="es-ES" w:eastAsia="es-ES"/>
        </w:rPr>
      </w:pPr>
      <w:r w:rsidRPr="00440D37">
        <w:rPr>
          <w:rFonts w:ascii="GalanoGrotesque-Medium" w:eastAsia="Times New Roman" w:hAnsi="GalanoGrotesque-Medium" w:cs="Arial"/>
          <w:b/>
          <w:sz w:val="16"/>
          <w:szCs w:val="16"/>
          <w:lang w:val="es-ES" w:eastAsia="es-ES"/>
        </w:rPr>
        <w:t>Gráfica 8.2</w:t>
      </w:r>
    </w:p>
    <w:p w14:paraId="788E2A23" w14:textId="77777777" w:rsidR="00B51EA8" w:rsidRPr="00440D37" w:rsidRDefault="00B51EA8" w:rsidP="00440D37">
      <w:pPr>
        <w:shd w:val="clear" w:color="auto" w:fill="FFFFFF"/>
        <w:spacing w:after="0" w:line="215" w:lineRule="atLeast"/>
        <w:jc w:val="center"/>
        <w:rPr>
          <w:rFonts w:ascii="GalanoGrotesque-Medium" w:eastAsia="Times New Roman" w:hAnsi="GalanoGrotesque-Medium" w:cs="Arial"/>
          <w:sz w:val="16"/>
          <w:szCs w:val="16"/>
          <w:lang w:eastAsia="es-MX"/>
        </w:rPr>
      </w:pPr>
      <w:r w:rsidRPr="00440D37">
        <w:rPr>
          <w:rFonts w:ascii="GalanoGrotesque-Medium" w:eastAsia="Times New Roman" w:hAnsi="GalanoGrotesque-Medium" w:cs="Arial"/>
          <w:sz w:val="16"/>
          <w:szCs w:val="16"/>
          <w:lang w:eastAsia="es-MX"/>
        </w:rPr>
        <w:t xml:space="preserve">Indicadores de Violencia </w:t>
      </w:r>
      <w:proofErr w:type="spellStart"/>
      <w:r w:rsidRPr="00440D37">
        <w:rPr>
          <w:rFonts w:ascii="GalanoGrotesque-Medium" w:eastAsia="Times New Roman" w:hAnsi="GalanoGrotesque-Medium" w:cs="Arial"/>
          <w:sz w:val="16"/>
          <w:szCs w:val="16"/>
          <w:lang w:eastAsia="es-MX"/>
        </w:rPr>
        <w:t>Feminicida</w:t>
      </w:r>
      <w:proofErr w:type="spellEnd"/>
    </w:p>
    <w:p w14:paraId="00F38352" w14:textId="77777777" w:rsidR="00B51EA8" w:rsidRPr="00FB5FD9" w:rsidRDefault="00B51EA8" w:rsidP="00B51EA8">
      <w:pPr>
        <w:shd w:val="clear" w:color="auto" w:fill="FFFFFF"/>
        <w:spacing w:after="107" w:line="215" w:lineRule="atLeast"/>
        <w:rPr>
          <w:rFonts w:ascii="GalanoGrotesque-Medium" w:eastAsia="Times New Roman" w:hAnsi="GalanoGrotesque-Medium" w:cs="Arial"/>
          <w:b/>
          <w:sz w:val="24"/>
          <w:szCs w:val="24"/>
          <w:lang w:eastAsia="es-MX"/>
        </w:rPr>
      </w:pPr>
      <w:r w:rsidRPr="00FB5FD9">
        <w:rPr>
          <w:rFonts w:ascii="GalanoGrotesque-Medium" w:eastAsia="Times New Roman" w:hAnsi="GalanoGrotesque-Medium" w:cs="Arial"/>
          <w:noProof/>
          <w:color w:val="4A4A4A"/>
          <w:sz w:val="24"/>
          <w:szCs w:val="24"/>
          <w:lang w:val="es-ES" w:eastAsia="es-ES"/>
        </w:rPr>
        <w:drawing>
          <wp:inline distT="0" distB="0" distL="0" distR="0" wp14:anchorId="71EDE4E8" wp14:editId="4E738A19">
            <wp:extent cx="3214499" cy="1895475"/>
            <wp:effectExtent l="0" t="0" r="5080" b="0"/>
            <wp:docPr id="75796" name="Imagen 75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olencia dos.png"/>
                    <pic:cNvPicPr/>
                  </pic:nvPicPr>
                  <pic:blipFill>
                    <a:blip r:embed="rId73">
                      <a:extLst>
                        <a:ext uri="{28A0092B-C50C-407E-A947-70E740481C1C}">
                          <a14:useLocalDpi xmlns:a14="http://schemas.microsoft.com/office/drawing/2010/main" val="0"/>
                        </a:ext>
                      </a:extLst>
                    </a:blip>
                    <a:stretch>
                      <a:fillRect/>
                    </a:stretch>
                  </pic:blipFill>
                  <pic:spPr>
                    <a:xfrm>
                      <a:off x="0" y="0"/>
                      <a:ext cx="3262028" cy="1923501"/>
                    </a:xfrm>
                    <a:prstGeom prst="rect">
                      <a:avLst/>
                    </a:prstGeom>
                  </pic:spPr>
                </pic:pic>
              </a:graphicData>
            </a:graphic>
          </wp:inline>
        </w:drawing>
      </w:r>
    </w:p>
    <w:p w14:paraId="190184FB" w14:textId="77777777" w:rsidR="00B51EA8" w:rsidRDefault="00B51EA8" w:rsidP="00440D37">
      <w:pPr>
        <w:shd w:val="clear" w:color="auto" w:fill="FFFFFF"/>
        <w:spacing w:after="160" w:line="215" w:lineRule="atLeast"/>
        <w:jc w:val="right"/>
        <w:rPr>
          <w:rFonts w:ascii="MyriadPro-Regular" w:eastAsia="Times New Roman" w:hAnsi="MyriadPro-Regular" w:cs="Arial"/>
          <w:sz w:val="20"/>
          <w:szCs w:val="20"/>
          <w:lang w:eastAsia="es-MX"/>
        </w:rPr>
      </w:pPr>
      <w:r w:rsidRPr="00B51EA8">
        <w:rPr>
          <w:rFonts w:ascii="MyriadPro-Regular" w:eastAsia="Times New Roman" w:hAnsi="MyriadPro-Regular" w:cs="Arial"/>
          <w:sz w:val="16"/>
          <w:szCs w:val="16"/>
          <w:lang w:eastAsia="es-MX"/>
        </w:rPr>
        <w:t>Fuente: Elaboración de la Comisión Especial para feminicidios, Cámara de Diputados LXI Legislatura – INEGI 2005 Y 2010</w:t>
      </w:r>
      <w:r w:rsidRPr="00B51EA8">
        <w:rPr>
          <w:rFonts w:ascii="MyriadPro-Regular" w:eastAsia="Times New Roman" w:hAnsi="MyriadPro-Regular" w:cs="Arial"/>
          <w:sz w:val="20"/>
          <w:szCs w:val="20"/>
          <w:lang w:eastAsia="es-MX"/>
        </w:rPr>
        <w:t>.</w:t>
      </w:r>
    </w:p>
    <w:p w14:paraId="6A5760C2" w14:textId="77777777" w:rsidR="00B51EA8" w:rsidRDefault="00B51EA8" w:rsidP="00DD1672">
      <w:pPr>
        <w:spacing w:after="240"/>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Por su parte, la ONU revela que la tasa de defunciones femeninas con presunción de homicidio en Michoacán entre 2007 y 2013 aumentó 54.6%, (Gráfica 8.3). Sin embargo, entre 2013 y 2014 dicha tasa disminuyó 18.4%, registrándose 79 casos de defunciones femeninas con presunción de homicidio.</w:t>
      </w:r>
    </w:p>
    <w:p w14:paraId="3527D412" w14:textId="77777777" w:rsidR="004733A8" w:rsidRDefault="004733A8" w:rsidP="00DD1672">
      <w:pPr>
        <w:widowControl w:val="0"/>
        <w:autoSpaceDE w:val="0"/>
        <w:autoSpaceDN w:val="0"/>
        <w:adjustRightInd w:val="0"/>
        <w:spacing w:after="0" w:line="200" w:lineRule="exact"/>
        <w:jc w:val="center"/>
        <w:rPr>
          <w:rFonts w:ascii="GalanoGrotesque-Medium" w:hAnsi="GalanoGrotesque-Medium" w:cs="Arial"/>
          <w:b/>
        </w:rPr>
      </w:pPr>
    </w:p>
    <w:p w14:paraId="53FF93C0" w14:textId="77777777" w:rsidR="004733A8" w:rsidRDefault="004733A8" w:rsidP="00DD1672">
      <w:pPr>
        <w:widowControl w:val="0"/>
        <w:autoSpaceDE w:val="0"/>
        <w:autoSpaceDN w:val="0"/>
        <w:adjustRightInd w:val="0"/>
        <w:spacing w:after="0" w:line="200" w:lineRule="exact"/>
        <w:jc w:val="center"/>
        <w:rPr>
          <w:rFonts w:ascii="GalanoGrotesque-Medium" w:hAnsi="GalanoGrotesque-Medium" w:cs="Arial"/>
          <w:b/>
        </w:rPr>
      </w:pPr>
    </w:p>
    <w:p w14:paraId="0ED40518" w14:textId="77777777" w:rsidR="00DD1672" w:rsidRPr="00440D37" w:rsidRDefault="00DD1672" w:rsidP="00DD1672">
      <w:pPr>
        <w:widowControl w:val="0"/>
        <w:autoSpaceDE w:val="0"/>
        <w:autoSpaceDN w:val="0"/>
        <w:adjustRightInd w:val="0"/>
        <w:spacing w:after="0" w:line="200" w:lineRule="exact"/>
        <w:jc w:val="center"/>
        <w:rPr>
          <w:rFonts w:ascii="GalanoGrotesque-Medium" w:hAnsi="GalanoGrotesque-Medium" w:cs="Arial"/>
          <w:b/>
          <w:sz w:val="16"/>
          <w:szCs w:val="16"/>
        </w:rPr>
      </w:pPr>
      <w:r w:rsidRPr="00440D37">
        <w:rPr>
          <w:rFonts w:ascii="GalanoGrotesque-Medium" w:hAnsi="GalanoGrotesque-Medium" w:cs="Arial"/>
          <w:b/>
          <w:sz w:val="16"/>
          <w:szCs w:val="16"/>
        </w:rPr>
        <w:t>Gráfica 8.3</w:t>
      </w:r>
    </w:p>
    <w:p w14:paraId="76D4231C" w14:textId="77777777" w:rsidR="00DD1672" w:rsidRPr="00440D37" w:rsidRDefault="00DD1672" w:rsidP="00DD1672">
      <w:pPr>
        <w:spacing w:after="0" w:line="200" w:lineRule="exact"/>
        <w:jc w:val="center"/>
        <w:rPr>
          <w:rFonts w:ascii="GalanoGrotesque-Medium" w:hAnsi="GalanoGrotesque-Medium" w:cs="Arial"/>
          <w:sz w:val="16"/>
          <w:szCs w:val="16"/>
        </w:rPr>
      </w:pPr>
      <w:r w:rsidRPr="00440D37">
        <w:rPr>
          <w:rFonts w:ascii="GalanoGrotesque-Medium" w:hAnsi="GalanoGrotesque-Medium" w:cs="Arial"/>
          <w:sz w:val="16"/>
          <w:szCs w:val="16"/>
        </w:rPr>
        <w:t>Tasa de Defunciones Femeninas con Presunción de Homicidio</w:t>
      </w:r>
    </w:p>
    <w:p w14:paraId="4353EE9F" w14:textId="77777777" w:rsidR="00DD1672" w:rsidRPr="00DD1672" w:rsidRDefault="00DD1672" w:rsidP="00DD1672">
      <w:pPr>
        <w:spacing w:after="0" w:line="200" w:lineRule="exact"/>
        <w:jc w:val="center"/>
        <w:rPr>
          <w:rFonts w:ascii="GalanoGrotesque-Medium" w:hAnsi="GalanoGrotesque-Medium" w:cs="Arial"/>
          <w:sz w:val="20"/>
          <w:szCs w:val="20"/>
        </w:rPr>
      </w:pPr>
    </w:p>
    <w:p w14:paraId="05F61093" w14:textId="77777777" w:rsidR="00DD1672" w:rsidRDefault="00DD1672" w:rsidP="00DD1672">
      <w:pPr>
        <w:jc w:val="center"/>
        <w:rPr>
          <w:rFonts w:ascii="GalanoGrotesque-Medium" w:hAnsi="GalanoGrotesque-Medium" w:cs="Arial"/>
          <w:color w:val="000000"/>
          <w:lang w:eastAsia="es-MX"/>
        </w:rPr>
      </w:pPr>
      <w:r>
        <w:rPr>
          <w:rFonts w:ascii="GalanoGrotesque-Medium" w:hAnsi="GalanoGrotesque-Medium"/>
          <w:noProof/>
          <w:lang w:val="es-ES" w:eastAsia="es-ES"/>
        </w:rPr>
        <w:drawing>
          <wp:inline distT="0" distB="0" distL="0" distR="0" wp14:anchorId="4185B7A0" wp14:editId="41E24719">
            <wp:extent cx="3156402" cy="1371600"/>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68907" cy="1377034"/>
                    </a:xfrm>
                    <a:prstGeom prst="rect">
                      <a:avLst/>
                    </a:prstGeom>
                    <a:noFill/>
                    <a:ln>
                      <a:noFill/>
                    </a:ln>
                  </pic:spPr>
                </pic:pic>
              </a:graphicData>
            </a:graphic>
          </wp:inline>
        </w:drawing>
      </w:r>
    </w:p>
    <w:p w14:paraId="4BE67D77" w14:textId="77777777" w:rsidR="00DD1672" w:rsidRPr="00DD1672" w:rsidRDefault="00DD1672" w:rsidP="00DD1672">
      <w:pPr>
        <w:pStyle w:val="NormalWeb"/>
        <w:shd w:val="clear" w:color="auto" w:fill="FFFFFF"/>
        <w:spacing w:before="0" w:beforeAutospacing="0" w:after="107" w:afterAutospacing="0" w:line="215" w:lineRule="atLeast"/>
        <w:jc w:val="right"/>
        <w:rPr>
          <w:rFonts w:ascii="MyriadPro-Regular" w:hAnsi="MyriadPro-Regular" w:cs="Arial"/>
          <w:sz w:val="16"/>
          <w:szCs w:val="16"/>
        </w:rPr>
      </w:pPr>
      <w:r w:rsidRPr="00DD1672">
        <w:rPr>
          <w:rFonts w:ascii="MyriadPro-Regular" w:hAnsi="MyriadPro-Regular" w:cs="Arial"/>
          <w:sz w:val="16"/>
          <w:szCs w:val="16"/>
        </w:rPr>
        <w:t>Fuente: Elaboración de la ONU Mujeres.</w:t>
      </w:r>
    </w:p>
    <w:p w14:paraId="6468228F" w14:textId="77777777" w:rsidR="004733A8" w:rsidRPr="00440D37" w:rsidRDefault="004733A8" w:rsidP="00440D37">
      <w:pPr>
        <w:pStyle w:val="Prrafodelista"/>
        <w:numPr>
          <w:ilvl w:val="0"/>
          <w:numId w:val="27"/>
        </w:numPr>
        <w:shd w:val="clear" w:color="auto" w:fill="FFFFFF"/>
        <w:spacing w:after="107"/>
        <w:ind w:left="426" w:hanging="426"/>
        <w:jc w:val="both"/>
        <w:rPr>
          <w:rFonts w:ascii="MyriadPro-Regular" w:hAnsi="MyriadPro-Regular" w:cs="Arial"/>
          <w:b/>
          <w:color w:val="404040" w:themeColor="text1" w:themeTint="BF"/>
          <w:sz w:val="28"/>
          <w:szCs w:val="28"/>
        </w:rPr>
      </w:pPr>
      <w:r w:rsidRPr="00440D37">
        <w:rPr>
          <w:rFonts w:ascii="MyriadPro-Bold" w:hAnsi="MyriadPro-Bold" w:cs="MyriadPro-Bold"/>
          <w:b/>
          <w:bCs/>
          <w:color w:val="414142"/>
        </w:rPr>
        <w:t>Hacia dónde vamos</w:t>
      </w:r>
    </w:p>
    <w:p w14:paraId="0A02AA1C" w14:textId="77777777" w:rsidR="00DD1672" w:rsidRPr="00DD1672" w:rsidRDefault="00DD1672" w:rsidP="00DD1672">
      <w:pPr>
        <w:shd w:val="clear" w:color="auto" w:fill="FFFFFF"/>
        <w:spacing w:after="107"/>
        <w:jc w:val="both"/>
        <w:rPr>
          <w:rFonts w:ascii="MyriadPro-Regular" w:hAnsi="MyriadPro-Regular" w:cs="Arial"/>
          <w:bCs/>
          <w:color w:val="404040" w:themeColor="text1" w:themeTint="BF"/>
          <w:sz w:val="20"/>
          <w:szCs w:val="20"/>
          <w:lang w:val="es-ES"/>
        </w:rPr>
      </w:pPr>
      <w:r w:rsidRPr="00DD1672">
        <w:rPr>
          <w:rFonts w:ascii="MyriadPro-Regular" w:hAnsi="MyriadPro-Regular" w:cs="Arial"/>
          <w:bCs/>
          <w:color w:val="404040" w:themeColor="text1" w:themeTint="BF"/>
          <w:sz w:val="20"/>
          <w:szCs w:val="20"/>
          <w:lang w:val="es-ES"/>
        </w:rPr>
        <w:t xml:space="preserve">La igualdad sustantiva se contrapone a la discriminación motivada por el origen étnico o nacional, el género, la edad, las discapacidades, la condición social, las condiciones de salud, la religión, las opiniones, las preferencias sexuales, el estado civil o cualquier otra situación que pudiera menoscabar los derechos y libertades de las personas. </w:t>
      </w:r>
    </w:p>
    <w:p w14:paraId="2344A5B4" w14:textId="77777777" w:rsidR="00DD1672" w:rsidRDefault="00DD1672" w:rsidP="00DD1672">
      <w:pPr>
        <w:shd w:val="clear" w:color="auto" w:fill="FFFFFF"/>
        <w:spacing w:after="107"/>
        <w:jc w:val="both"/>
        <w:rPr>
          <w:rFonts w:ascii="MyriadPro-Regular" w:hAnsi="MyriadPro-Regular" w:cs="Arial"/>
          <w:bCs/>
          <w:color w:val="404040" w:themeColor="text1" w:themeTint="BF"/>
          <w:sz w:val="20"/>
          <w:szCs w:val="20"/>
          <w:lang w:val="es-ES"/>
        </w:rPr>
      </w:pPr>
      <w:r w:rsidRPr="00DD1672">
        <w:rPr>
          <w:rFonts w:ascii="MyriadPro-Regular" w:hAnsi="MyriadPro-Regular" w:cs="Arial"/>
          <w:bCs/>
          <w:color w:val="404040" w:themeColor="text1" w:themeTint="BF"/>
          <w:sz w:val="20"/>
          <w:szCs w:val="20"/>
          <w:lang w:val="es-ES"/>
        </w:rPr>
        <w:t>Michoacán se reafirma en la obligación de reconocer a la niñez como titulares de derechos y seguirá salvaguardando el pleno goce, respeto, protección y promoción de sus derechos humanos, de allí que es necesario dar seguimiento a las acciones en beneficio de este colectivo. Esta Administración continuará trabajando para que en todo el Estado exista igualdad sustantiva para garantizar mismo trato y oportunidades para todos.</w:t>
      </w:r>
    </w:p>
    <w:p w14:paraId="1B95A057" w14:textId="77777777" w:rsidR="004733A8" w:rsidRDefault="004733A8" w:rsidP="004733A8">
      <w:pPr>
        <w:shd w:val="clear" w:color="auto" w:fill="FFFFFF"/>
        <w:spacing w:after="107"/>
        <w:jc w:val="both"/>
        <w:rPr>
          <w:rFonts w:ascii="MyriadPro-Regular" w:hAnsi="MyriadPro-Regular" w:cs="Arial"/>
          <w:bCs/>
          <w:color w:val="404040" w:themeColor="text1" w:themeTint="BF"/>
          <w:sz w:val="20"/>
          <w:szCs w:val="20"/>
          <w:lang w:val="es-ES"/>
        </w:rPr>
      </w:pPr>
      <w:r w:rsidRPr="004733A8">
        <w:rPr>
          <w:rFonts w:ascii="MyriadPro-Regular" w:hAnsi="MyriadPro-Regular" w:cs="Arial"/>
          <w:bCs/>
          <w:color w:val="404040" w:themeColor="text1" w:themeTint="BF"/>
          <w:sz w:val="20"/>
          <w:szCs w:val="20"/>
          <w:lang w:val="es-ES"/>
        </w:rPr>
        <w:t xml:space="preserve">En el Estado de Michoacán la Ley General para la Igualdad entre Mujeres y Hombres, tiene por objeto establecer los lineamientos generales de las bases de coordinación entre los diferentes órdenes de Gobierno para promover, impulsar y fomentar la igualdad sustantiva entre mujeres y hombres, tanto en el ámbito público como en el privado. </w:t>
      </w:r>
    </w:p>
    <w:p w14:paraId="5634FB0D" w14:textId="77777777" w:rsidR="004733A8" w:rsidRDefault="004733A8" w:rsidP="004733A8">
      <w:pPr>
        <w:shd w:val="clear" w:color="auto" w:fill="FFFFFF"/>
        <w:spacing w:after="107"/>
        <w:jc w:val="both"/>
        <w:rPr>
          <w:rFonts w:ascii="MyriadPro-Regular" w:hAnsi="MyriadPro-Regular" w:cs="Arial"/>
          <w:bCs/>
          <w:color w:val="404040" w:themeColor="text1" w:themeTint="BF"/>
          <w:sz w:val="20"/>
          <w:szCs w:val="20"/>
          <w:lang w:val="es-ES"/>
        </w:rPr>
      </w:pPr>
      <w:r w:rsidRPr="004733A8">
        <w:rPr>
          <w:rFonts w:ascii="MyriadPro-Regular" w:hAnsi="MyriadPro-Regular" w:cs="Arial"/>
          <w:bCs/>
          <w:color w:val="404040" w:themeColor="text1" w:themeTint="BF"/>
          <w:sz w:val="20"/>
          <w:szCs w:val="20"/>
          <w:lang w:val="es-ES"/>
        </w:rPr>
        <w:t xml:space="preserve">Derivado de los Foros de Consulta y Participación Ciudadana, realizados al interior del Estado, se detectó que una de las demandas de la sociedad es acabar con la marginación, se respeten los derechos de la ciudadanía y se actúe en consecuencia en el cumplimiento de los deberes de la sociedad. </w:t>
      </w:r>
    </w:p>
    <w:p w14:paraId="49900C92" w14:textId="77777777" w:rsidR="004733A8" w:rsidRPr="004733A8" w:rsidRDefault="004733A8" w:rsidP="004733A8">
      <w:pPr>
        <w:shd w:val="clear" w:color="auto" w:fill="FFFFFF"/>
        <w:spacing w:after="107"/>
        <w:jc w:val="both"/>
        <w:rPr>
          <w:rFonts w:ascii="MyriadPro-Regular" w:hAnsi="MyriadPro-Regular" w:cs="Arial"/>
          <w:bCs/>
          <w:color w:val="404040" w:themeColor="text1" w:themeTint="BF"/>
          <w:sz w:val="20"/>
          <w:szCs w:val="20"/>
          <w:lang w:val="es-ES"/>
        </w:rPr>
      </w:pPr>
      <w:r w:rsidRPr="004733A8">
        <w:rPr>
          <w:rFonts w:ascii="MyriadPro-Regular" w:hAnsi="MyriadPro-Regular" w:cs="Arial"/>
          <w:bCs/>
          <w:color w:val="404040" w:themeColor="text1" w:themeTint="BF"/>
          <w:sz w:val="20"/>
          <w:szCs w:val="20"/>
          <w:lang w:val="es-ES"/>
        </w:rPr>
        <w:lastRenderedPageBreak/>
        <w:t>Para lograr lo anterior, esta Administración, con la participación activa de la sociedad, impulsará programas y políticas públicas incluyentes, dando oportunidades de desarrollo de los diversos colectivos de la sociedad, a los jóvenes, a las mujeres y las personas de la tercera edad, así como a la niñez, a las personas discapacitadas, a las comunidades indígenas y otros grupos en situación de vulnerabilidad.</w:t>
      </w:r>
    </w:p>
    <w:p w14:paraId="363F17A1" w14:textId="77777777" w:rsidR="004733A8" w:rsidRPr="004733A8" w:rsidRDefault="004733A8" w:rsidP="004733A8">
      <w:pPr>
        <w:shd w:val="clear" w:color="auto" w:fill="FFFFFF"/>
        <w:spacing w:after="107"/>
        <w:jc w:val="both"/>
        <w:rPr>
          <w:rFonts w:ascii="MyriadPro-Regular" w:hAnsi="MyriadPro-Regular" w:cs="Arial"/>
          <w:bCs/>
          <w:color w:val="404040" w:themeColor="text1" w:themeTint="BF"/>
          <w:sz w:val="20"/>
          <w:szCs w:val="20"/>
          <w:lang w:val="es-ES"/>
        </w:rPr>
      </w:pPr>
      <w:r w:rsidRPr="004733A8">
        <w:rPr>
          <w:rFonts w:ascii="MyriadPro-Regular" w:hAnsi="MyriadPro-Regular" w:cs="Arial"/>
          <w:bCs/>
          <w:color w:val="404040" w:themeColor="text1" w:themeTint="BF"/>
          <w:sz w:val="20"/>
          <w:szCs w:val="20"/>
          <w:lang w:val="es-ES"/>
        </w:rPr>
        <w:t xml:space="preserve">En este contexto, para lograr la cohesión social, es necesario fortalecer los valores que reciben las personas como integrantes de una familia, de modo que éste primer núcleo de unión, la célula base de la sociedad, ayude a formar ciudadanos íntegros y participativos. De esta manera el Estado reconoce el papel fundamental de la familia y la comunidad en el desarrollo de la sociedad, por lo que se debe fomentar y proteger. </w:t>
      </w:r>
      <w:r w:rsidRPr="004733A8">
        <w:rPr>
          <w:rFonts w:ascii="MyriadPro-Regular" w:hAnsi="MyriadPro-Regular" w:cs="Arial"/>
          <w:b/>
          <w:bCs/>
          <w:color w:val="404040" w:themeColor="text1" w:themeTint="BF"/>
          <w:sz w:val="20"/>
          <w:szCs w:val="20"/>
          <w:lang w:val="es-ES"/>
        </w:rPr>
        <w:t>Gobierno y Sociedad</w:t>
      </w:r>
      <w:r w:rsidRPr="004733A8">
        <w:rPr>
          <w:rFonts w:ascii="MyriadPro-Regular" w:hAnsi="MyriadPro-Regular" w:cs="Arial"/>
          <w:bCs/>
          <w:color w:val="404040" w:themeColor="text1" w:themeTint="BF"/>
          <w:sz w:val="20"/>
          <w:szCs w:val="20"/>
          <w:lang w:val="es-ES"/>
        </w:rPr>
        <w:t xml:space="preserve"> trabajaremos para tener una comunidad unida, basada en personas auténticas, coherentes con sus valores, solidarias y unidas con su comunidad. </w:t>
      </w:r>
    </w:p>
    <w:p w14:paraId="2D7A461E" w14:textId="77777777" w:rsidR="004733A8" w:rsidRPr="004733A8" w:rsidRDefault="004733A8" w:rsidP="004733A8">
      <w:pPr>
        <w:shd w:val="clear" w:color="auto" w:fill="FFFFFF"/>
        <w:spacing w:after="107"/>
        <w:jc w:val="both"/>
        <w:rPr>
          <w:rFonts w:ascii="MyriadPro-Regular" w:hAnsi="MyriadPro-Regular" w:cs="Arial"/>
          <w:bCs/>
          <w:color w:val="404040" w:themeColor="text1" w:themeTint="BF"/>
          <w:sz w:val="20"/>
          <w:szCs w:val="20"/>
          <w:lang w:val="es-ES"/>
        </w:rPr>
      </w:pPr>
      <w:r w:rsidRPr="004733A8">
        <w:rPr>
          <w:rFonts w:ascii="MyriadPro-Regular" w:hAnsi="MyriadPro-Regular" w:cs="Arial"/>
          <w:bCs/>
          <w:color w:val="404040" w:themeColor="text1" w:themeTint="BF"/>
          <w:sz w:val="20"/>
          <w:szCs w:val="20"/>
          <w:lang w:val="es-ES"/>
        </w:rPr>
        <w:t>Esto se va a alcanzar con políticas públicas para combatir los altos niveles de violencia y delincuencia registrados en el Estado durante los últimos años. Dichas políticas deben ser construidas considerando que la probabilidad de que una persona cometa un delito depende no sólo de sus características individuales, sino también del tipo de comunidad a la cual pertenece. Además debemos fortalecer las redes y vínculos entre vecinos, esperando que  mejoren los procesos de conexión social informal que la comunidad debe tener sobre sus miembros, respetando la diversidad.</w:t>
      </w:r>
    </w:p>
    <w:p w14:paraId="46E0C371" w14:textId="77777777" w:rsidR="004733A8" w:rsidRPr="004733A8" w:rsidRDefault="004733A8" w:rsidP="004733A8">
      <w:pPr>
        <w:shd w:val="clear" w:color="auto" w:fill="FFFFFF"/>
        <w:spacing w:after="107"/>
        <w:jc w:val="both"/>
        <w:rPr>
          <w:rFonts w:ascii="MyriadPro-Regular" w:hAnsi="MyriadPro-Regular" w:cs="Arial"/>
          <w:bCs/>
          <w:color w:val="404040" w:themeColor="text1" w:themeTint="BF"/>
          <w:sz w:val="20"/>
          <w:szCs w:val="20"/>
          <w:lang w:val="es-ES"/>
        </w:rPr>
      </w:pPr>
      <w:r w:rsidRPr="004733A8">
        <w:rPr>
          <w:rFonts w:ascii="MyriadPro-Regular" w:hAnsi="MyriadPro-Regular" w:cs="Arial"/>
          <w:bCs/>
          <w:color w:val="404040" w:themeColor="text1" w:themeTint="BF"/>
          <w:sz w:val="20"/>
          <w:szCs w:val="20"/>
          <w:lang w:val="es-ES"/>
        </w:rPr>
        <w:t>El Estado buscará eliminar la discriminación y disparidad de género, promover la autonomía de la mujer y proteger los derechos de las niñas. En este sentido, es indispensable promover acciones, programas y políticas públicas que hagan viable el ejercicio de los derechos de las mujeres y las niñas a vivir con dignidad, libres de violencia y discriminación. La violencia contra ellas es una violación a sus derechos humanos y es consecuencia de la discriminación de la que aún son víctimas. El Gobierno de Michoacán no va a ignorar este flagelo, que agravia, obstaculiza el desarrollo y limita a las mujeres y niñas el ejercicio pleno de sus derechos.</w:t>
      </w:r>
    </w:p>
    <w:p w14:paraId="37B69806" w14:textId="77777777" w:rsidR="004733A8" w:rsidRPr="004733A8" w:rsidRDefault="004733A8" w:rsidP="004733A8">
      <w:pPr>
        <w:shd w:val="clear" w:color="auto" w:fill="FFFFFF"/>
        <w:spacing w:after="107"/>
        <w:jc w:val="both"/>
        <w:rPr>
          <w:rFonts w:ascii="MyriadPro-Regular" w:hAnsi="MyriadPro-Regular" w:cs="Arial"/>
          <w:bCs/>
          <w:color w:val="404040" w:themeColor="text1" w:themeTint="BF"/>
          <w:sz w:val="20"/>
          <w:szCs w:val="20"/>
        </w:rPr>
      </w:pPr>
      <w:r w:rsidRPr="004733A8">
        <w:rPr>
          <w:rFonts w:ascii="MyriadPro-Regular" w:hAnsi="MyriadPro-Regular" w:cs="Arial"/>
          <w:bCs/>
          <w:color w:val="404040" w:themeColor="text1" w:themeTint="BF"/>
          <w:sz w:val="20"/>
          <w:szCs w:val="20"/>
        </w:rPr>
        <w:lastRenderedPageBreak/>
        <w:t>Se instrumentarán también diversos mecanismos encaminados a erradicar la violencia en contra de las mujeres, tanto en su prevención como para asegurar la procuración de justicia. La mortalidad materna e infantil ha de abatirse con la implementación de servicios adecuados de salud, prenatal, postparto y la puericultura. Es de suma importancia elevar la escolaridad de las mujeres para evitar marginación, explotación y discriminación jurídica.</w:t>
      </w:r>
    </w:p>
    <w:p w14:paraId="72F2ED14" w14:textId="77777777" w:rsidR="004733A8" w:rsidRPr="004733A8" w:rsidRDefault="004733A8" w:rsidP="004733A8">
      <w:pPr>
        <w:shd w:val="clear" w:color="auto" w:fill="FFFFFF"/>
        <w:spacing w:after="107"/>
        <w:jc w:val="both"/>
        <w:rPr>
          <w:rFonts w:ascii="MyriadPro-Regular" w:hAnsi="MyriadPro-Regular" w:cs="Arial"/>
          <w:bCs/>
          <w:color w:val="404040" w:themeColor="text1" w:themeTint="BF"/>
          <w:sz w:val="20"/>
          <w:szCs w:val="20"/>
          <w:lang w:val="es-ES"/>
        </w:rPr>
      </w:pPr>
      <w:r w:rsidRPr="004733A8">
        <w:rPr>
          <w:rFonts w:ascii="MyriadPro-Regular" w:hAnsi="MyriadPro-Regular" w:cs="Arial"/>
          <w:bCs/>
          <w:color w:val="404040" w:themeColor="text1" w:themeTint="BF"/>
          <w:sz w:val="20"/>
          <w:szCs w:val="20"/>
          <w:lang w:val="es-ES"/>
        </w:rPr>
        <w:t xml:space="preserve">La migración es un fenómeno complejo y con múltiples dimensiones, por lo que requiere de una política transversal hacia varios sectores y niveles de gobierno, inspirada en la búsqueda del desarrollo humano sostenible, el respeto irrestricto a los derechos humanos, el derecho de asilo y la </w:t>
      </w:r>
      <w:r w:rsidRPr="004733A8">
        <w:rPr>
          <w:rFonts w:ascii="MyriadPro-Regular" w:hAnsi="MyriadPro-Regular" w:cs="Arial"/>
          <w:bCs/>
          <w:color w:val="404040" w:themeColor="text1" w:themeTint="BF"/>
          <w:sz w:val="20"/>
          <w:szCs w:val="20"/>
          <w:lang w:val="es-ES"/>
        </w:rPr>
        <w:lastRenderedPageBreak/>
        <w:t>cooperación internacional, temas que se abordan de manera transversal en el PLADIEM y sus programas y prioridades, y se expresarán en cada una de las regiones en las que las remesas son significativas para el desarrollo económico de las comunidades.</w:t>
      </w:r>
    </w:p>
    <w:p w14:paraId="6C7DFC5E" w14:textId="77777777" w:rsidR="004733A8" w:rsidRPr="004733A8" w:rsidRDefault="004733A8" w:rsidP="004733A8">
      <w:pPr>
        <w:shd w:val="clear" w:color="auto" w:fill="FFFFFF"/>
        <w:spacing w:after="107"/>
        <w:jc w:val="both"/>
        <w:rPr>
          <w:rFonts w:ascii="MyriadPro-Regular" w:hAnsi="MyriadPro-Regular" w:cs="Arial"/>
          <w:bCs/>
          <w:color w:val="404040" w:themeColor="text1" w:themeTint="BF"/>
          <w:sz w:val="20"/>
          <w:szCs w:val="20"/>
          <w:lang w:val="es-ES"/>
        </w:rPr>
      </w:pPr>
      <w:r w:rsidRPr="004733A8">
        <w:rPr>
          <w:rFonts w:ascii="MyriadPro-Regular" w:hAnsi="MyriadPro-Regular" w:cs="Arial"/>
          <w:bCs/>
          <w:color w:val="404040" w:themeColor="text1" w:themeTint="BF"/>
          <w:sz w:val="20"/>
          <w:szCs w:val="20"/>
        </w:rPr>
        <w:t xml:space="preserve">Por tanto, la situación de los migrantes y sus familias está en el centro de la cohesión social en el Estado. </w:t>
      </w:r>
      <w:r w:rsidRPr="004733A8">
        <w:rPr>
          <w:rFonts w:ascii="MyriadPro-Regular" w:hAnsi="MyriadPro-Regular" w:cs="Arial"/>
          <w:bCs/>
          <w:color w:val="404040" w:themeColor="text1" w:themeTint="BF"/>
          <w:sz w:val="20"/>
          <w:szCs w:val="20"/>
          <w:lang w:val="es-ES"/>
        </w:rPr>
        <w:t xml:space="preserve">Michoacán deberá de contar con diversas políticas públicas que atiendan a la población que por diversas razones han tenido que emigrar, pero también a sus familias y comunidades porque también se ven impactadas por este fenómeno. </w:t>
      </w:r>
    </w:p>
    <w:p w14:paraId="384795C3" w14:textId="77777777" w:rsidR="00FB5FD9" w:rsidRPr="004733A8" w:rsidRDefault="004733A8" w:rsidP="00FB5FD9">
      <w:pPr>
        <w:shd w:val="clear" w:color="auto" w:fill="FFFFFF"/>
        <w:spacing w:after="107"/>
        <w:jc w:val="both"/>
        <w:rPr>
          <w:rFonts w:ascii="MyriadPro-Regular" w:hAnsi="MyriadPro-Regular" w:cs="Arial"/>
          <w:bCs/>
          <w:color w:val="404040" w:themeColor="text1" w:themeTint="BF"/>
          <w:sz w:val="20"/>
          <w:szCs w:val="20"/>
          <w:lang w:val="es-ES"/>
        </w:rPr>
        <w:sectPr w:rsidR="00FB5FD9" w:rsidRPr="004733A8" w:rsidSect="00FB5FD9">
          <w:footnotePr>
            <w:numStart w:val="4"/>
          </w:footnotePr>
          <w:type w:val="continuous"/>
          <w:pgSz w:w="12240" w:h="15840"/>
          <w:pgMar w:top="1418" w:right="1134" w:bottom="1418" w:left="1134" w:header="709" w:footer="709" w:gutter="0"/>
          <w:cols w:num="2" w:space="567"/>
          <w:docGrid w:linePitch="360"/>
        </w:sectPr>
      </w:pPr>
      <w:r w:rsidRPr="004733A8">
        <w:rPr>
          <w:rFonts w:ascii="MyriadPro-Regular" w:hAnsi="MyriadPro-Regular" w:cs="Arial"/>
          <w:bCs/>
          <w:color w:val="404040" w:themeColor="text1" w:themeTint="BF"/>
          <w:sz w:val="20"/>
          <w:szCs w:val="20"/>
          <w:lang w:val="es-ES"/>
        </w:rPr>
        <w:t xml:space="preserve">Para lograr lo anterior se plantean los objetivos, líneas estratégicas y acciones </w:t>
      </w:r>
      <w:r>
        <w:rPr>
          <w:rFonts w:ascii="MyriadPro-Regular" w:hAnsi="MyriadPro-Regular" w:cs="Arial"/>
          <w:bCs/>
          <w:color w:val="404040" w:themeColor="text1" w:themeTint="BF"/>
          <w:sz w:val="20"/>
          <w:szCs w:val="20"/>
          <w:lang w:val="es-ES"/>
        </w:rPr>
        <w:t>que se muestran en la Tabla 8.3</w:t>
      </w:r>
    </w:p>
    <w:p w14:paraId="6601DA10" w14:textId="77777777" w:rsidR="00FB5FD9" w:rsidRPr="00440D37" w:rsidRDefault="00FB5FD9" w:rsidP="004733A8">
      <w:pPr>
        <w:spacing w:after="0" w:line="240" w:lineRule="auto"/>
        <w:jc w:val="center"/>
        <w:rPr>
          <w:rFonts w:ascii="GalanoGrotesque-Medium" w:eastAsia="Times New Roman" w:hAnsi="GalanoGrotesque-Medium" w:cs="Arial"/>
          <w:b/>
          <w:sz w:val="16"/>
          <w:szCs w:val="16"/>
          <w:lang w:val="es-ES" w:eastAsia="es-ES"/>
        </w:rPr>
      </w:pPr>
      <w:r w:rsidRPr="00440D37">
        <w:rPr>
          <w:rFonts w:ascii="GalanoGrotesque-Medium" w:eastAsia="Times New Roman" w:hAnsi="GalanoGrotesque-Medium" w:cs="Arial"/>
          <w:b/>
          <w:sz w:val="16"/>
          <w:szCs w:val="16"/>
          <w:lang w:val="es-ES" w:eastAsia="es-ES"/>
        </w:rPr>
        <w:lastRenderedPageBreak/>
        <w:t>Tabla 8.3</w:t>
      </w:r>
    </w:p>
    <w:p w14:paraId="70178548" w14:textId="77777777" w:rsidR="00FB5FD9" w:rsidRPr="00440D37" w:rsidRDefault="00FB5FD9" w:rsidP="00FB5FD9">
      <w:pPr>
        <w:spacing w:after="0" w:line="240" w:lineRule="auto"/>
        <w:jc w:val="center"/>
        <w:rPr>
          <w:rFonts w:ascii="GalanoGrotesque-Medium" w:eastAsia="Times New Roman" w:hAnsi="GalanoGrotesque-Medium" w:cs="Arial"/>
          <w:sz w:val="16"/>
          <w:szCs w:val="16"/>
          <w:lang w:val="es-ES" w:eastAsia="es-ES"/>
        </w:rPr>
      </w:pPr>
      <w:r w:rsidRPr="00440D37">
        <w:rPr>
          <w:rFonts w:ascii="GalanoGrotesque-Medium" w:eastAsia="Times New Roman" w:hAnsi="GalanoGrotesque-Medium" w:cs="Arial"/>
          <w:sz w:val="16"/>
          <w:szCs w:val="16"/>
          <w:lang w:val="es-ES" w:eastAsia="es-ES"/>
        </w:rPr>
        <w:t>Objetivos, Líneas Estratégicas y Acciones</w:t>
      </w:r>
    </w:p>
    <w:p w14:paraId="51610375" w14:textId="77777777" w:rsidR="004733A8" w:rsidRPr="004733A8" w:rsidRDefault="004733A8" w:rsidP="00FB5FD9">
      <w:pPr>
        <w:spacing w:after="0" w:line="240" w:lineRule="auto"/>
        <w:jc w:val="center"/>
        <w:rPr>
          <w:rFonts w:ascii="GalanoGrotesque-Medium" w:eastAsia="Times New Roman" w:hAnsi="GalanoGrotesque-Medium" w:cs="Arial"/>
          <w:sz w:val="20"/>
          <w:szCs w:val="20"/>
          <w:lang w:val="es-ES" w:eastAsia="es-ES"/>
        </w:rPr>
      </w:pPr>
    </w:p>
    <w:tbl>
      <w:tblPr>
        <w:tblStyle w:val="Tablaconcuadrcula"/>
        <w:tblW w:w="9072" w:type="dxa"/>
        <w:jc w:val="center"/>
        <w:tblLook w:val="04A0" w:firstRow="1" w:lastRow="0" w:firstColumn="1" w:lastColumn="0" w:noHBand="0" w:noVBand="1"/>
      </w:tblPr>
      <w:tblGrid>
        <w:gridCol w:w="9072"/>
      </w:tblGrid>
      <w:tr w:rsidR="00FB5FD9" w:rsidRPr="00596623" w14:paraId="382C00FD" w14:textId="77777777" w:rsidTr="004733A8">
        <w:trPr>
          <w:jc w:val="center"/>
        </w:trPr>
        <w:tc>
          <w:tcPr>
            <w:tcW w:w="9072" w:type="dxa"/>
            <w:shd w:val="clear" w:color="auto" w:fill="991359"/>
          </w:tcPr>
          <w:p w14:paraId="11CE735A" w14:textId="77777777" w:rsidR="00FB5FD9" w:rsidRPr="00596623" w:rsidRDefault="00FB5FD9" w:rsidP="00FB5FD9">
            <w:pPr>
              <w:rPr>
                <w:rFonts w:ascii="MyriadPro-Regular" w:hAnsi="MyriadPro-Regular"/>
                <w:b/>
                <w:color w:val="FFFFFF" w:themeColor="background1"/>
                <w:lang w:val="es-ES" w:eastAsia="es-ES"/>
              </w:rPr>
            </w:pPr>
            <w:r w:rsidRPr="00596623">
              <w:rPr>
                <w:rFonts w:ascii="MyriadPro-Regular" w:hAnsi="MyriadPro-Regular"/>
                <w:b/>
                <w:color w:val="FFFFFF" w:themeColor="background1"/>
                <w:lang w:val="es-ES" w:eastAsia="es-ES"/>
              </w:rPr>
              <w:t>Prioridad 8: Cohesión Social e Igualdad Sustantiva.</w:t>
            </w:r>
          </w:p>
        </w:tc>
      </w:tr>
      <w:tr w:rsidR="00FB5FD9" w:rsidRPr="00596623" w14:paraId="19B14A1A" w14:textId="77777777" w:rsidTr="004733A8">
        <w:trPr>
          <w:jc w:val="center"/>
        </w:trPr>
        <w:tc>
          <w:tcPr>
            <w:tcW w:w="9072" w:type="dxa"/>
            <w:shd w:val="clear" w:color="auto" w:fill="991359"/>
          </w:tcPr>
          <w:p w14:paraId="0B2EB3B8"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Objetivo</w:t>
            </w:r>
          </w:p>
        </w:tc>
      </w:tr>
      <w:tr w:rsidR="00FB5FD9" w:rsidRPr="00596623" w14:paraId="2C7A02F6" w14:textId="77777777" w:rsidTr="004733A8">
        <w:trPr>
          <w:jc w:val="center"/>
        </w:trPr>
        <w:tc>
          <w:tcPr>
            <w:tcW w:w="9072" w:type="dxa"/>
            <w:shd w:val="clear" w:color="auto" w:fill="auto"/>
          </w:tcPr>
          <w:p w14:paraId="41747A06" w14:textId="77777777" w:rsidR="00FB5FD9" w:rsidRPr="00596623" w:rsidRDefault="00FB5FD9" w:rsidP="00FB5FD9">
            <w:pPr>
              <w:ind w:left="346" w:hanging="346"/>
              <w:jc w:val="both"/>
              <w:rPr>
                <w:rFonts w:ascii="MyriadPro-Regular" w:hAnsi="MyriadPro-Regular"/>
                <w:lang w:val="es-ES" w:eastAsia="es-ES"/>
              </w:rPr>
            </w:pPr>
            <w:r w:rsidRPr="00596623">
              <w:rPr>
                <w:rFonts w:ascii="MyriadPro-Regular" w:hAnsi="MyriadPro-Regular"/>
                <w:lang w:val="es-ES" w:eastAsia="es-ES"/>
              </w:rPr>
              <w:t>8.1 Elevar el bienestar social para la satisfacción plena de las necesidades básicas, culturales y económicas.</w:t>
            </w:r>
          </w:p>
        </w:tc>
      </w:tr>
      <w:tr w:rsidR="00FB5FD9" w:rsidRPr="00596623" w14:paraId="566C3FC6" w14:textId="77777777" w:rsidTr="004733A8">
        <w:trPr>
          <w:jc w:val="center"/>
        </w:trPr>
        <w:tc>
          <w:tcPr>
            <w:tcW w:w="9072" w:type="dxa"/>
            <w:shd w:val="clear" w:color="auto" w:fill="991359"/>
          </w:tcPr>
          <w:p w14:paraId="5FD0557B"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Línea estratégica</w:t>
            </w:r>
          </w:p>
        </w:tc>
      </w:tr>
      <w:tr w:rsidR="00FB5FD9" w:rsidRPr="00596623" w14:paraId="1413EE9D" w14:textId="77777777" w:rsidTr="004733A8">
        <w:trPr>
          <w:jc w:val="center"/>
        </w:trPr>
        <w:tc>
          <w:tcPr>
            <w:tcW w:w="9072" w:type="dxa"/>
            <w:shd w:val="clear" w:color="auto" w:fill="auto"/>
          </w:tcPr>
          <w:p w14:paraId="11D784F2" w14:textId="77777777" w:rsidR="00FB5FD9" w:rsidRPr="00596623" w:rsidRDefault="00FB5FD9" w:rsidP="00FB5FD9">
            <w:pPr>
              <w:ind w:left="487"/>
              <w:rPr>
                <w:rFonts w:ascii="MyriadPro-Regular" w:hAnsi="MyriadPro-Regular"/>
                <w:lang w:val="es-ES" w:eastAsia="es-ES"/>
              </w:rPr>
            </w:pPr>
            <w:r w:rsidRPr="00596623">
              <w:rPr>
                <w:rFonts w:ascii="MyriadPro-Regular" w:hAnsi="MyriadPro-Regular"/>
                <w:lang w:val="es-ES" w:eastAsia="es-ES"/>
              </w:rPr>
              <w:t>8.1.1 Vencer adversidades para una vida plena.</w:t>
            </w:r>
          </w:p>
        </w:tc>
      </w:tr>
      <w:tr w:rsidR="00FB5FD9" w:rsidRPr="00596623" w14:paraId="67B0FBB0" w14:textId="77777777" w:rsidTr="004733A8">
        <w:trPr>
          <w:jc w:val="center"/>
        </w:trPr>
        <w:tc>
          <w:tcPr>
            <w:tcW w:w="9072" w:type="dxa"/>
            <w:shd w:val="clear" w:color="auto" w:fill="991359"/>
          </w:tcPr>
          <w:p w14:paraId="5BB5C770"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Acciones</w:t>
            </w:r>
          </w:p>
        </w:tc>
      </w:tr>
      <w:tr w:rsidR="00FB5FD9" w:rsidRPr="00596623" w14:paraId="23D0E435" w14:textId="77777777" w:rsidTr="004733A8">
        <w:trPr>
          <w:jc w:val="center"/>
        </w:trPr>
        <w:tc>
          <w:tcPr>
            <w:tcW w:w="9072" w:type="dxa"/>
            <w:shd w:val="clear" w:color="auto" w:fill="auto"/>
          </w:tcPr>
          <w:p w14:paraId="0BB46D47" w14:textId="77777777" w:rsidR="00FB5FD9" w:rsidRPr="00596623" w:rsidRDefault="00FB5FD9" w:rsidP="00FB5FD9">
            <w:pPr>
              <w:ind w:left="1310" w:hanging="567"/>
              <w:jc w:val="both"/>
              <w:rPr>
                <w:rFonts w:ascii="MyriadPro-Regular" w:hAnsi="MyriadPro-Regular"/>
                <w:color w:val="000000" w:themeColor="text1"/>
                <w:lang w:val="es-ES" w:eastAsia="es-ES"/>
              </w:rPr>
            </w:pPr>
            <w:r w:rsidRPr="00596623">
              <w:rPr>
                <w:rFonts w:ascii="MyriadPro-Regular" w:hAnsi="MyriadPro-Regular"/>
                <w:color w:val="000000" w:themeColor="text1"/>
                <w:lang w:val="es-ES" w:eastAsia="es-ES"/>
              </w:rPr>
              <w:t xml:space="preserve">8.1.1.1 Impulsar la creación de centros de rehabilitación en adicciones para personas dependientes y </w:t>
            </w:r>
            <w:proofErr w:type="spellStart"/>
            <w:r w:rsidRPr="00596623">
              <w:rPr>
                <w:rFonts w:ascii="MyriadPro-Regular" w:hAnsi="MyriadPro-Regular"/>
                <w:color w:val="000000" w:themeColor="text1"/>
                <w:lang w:val="es-ES" w:eastAsia="es-ES"/>
              </w:rPr>
              <w:t>co</w:t>
            </w:r>
            <w:proofErr w:type="spellEnd"/>
            <w:r w:rsidRPr="00596623">
              <w:rPr>
                <w:rFonts w:ascii="MyriadPro-Regular" w:hAnsi="MyriadPro-Regular"/>
                <w:color w:val="000000" w:themeColor="text1"/>
                <w:lang w:val="es-ES" w:eastAsia="es-ES"/>
              </w:rPr>
              <w:t>-dependientes que promuevan su inserción social y laboral.</w:t>
            </w:r>
          </w:p>
        </w:tc>
      </w:tr>
      <w:tr w:rsidR="00FB5FD9" w:rsidRPr="00596623" w14:paraId="78768BA6" w14:textId="77777777" w:rsidTr="004733A8">
        <w:trPr>
          <w:jc w:val="center"/>
        </w:trPr>
        <w:tc>
          <w:tcPr>
            <w:tcW w:w="9072" w:type="dxa"/>
            <w:shd w:val="clear" w:color="auto" w:fill="auto"/>
          </w:tcPr>
          <w:p w14:paraId="1FCF8D90" w14:textId="77777777" w:rsidR="00FB5FD9" w:rsidRPr="00596623" w:rsidRDefault="00FB5FD9" w:rsidP="00FB5FD9">
            <w:pPr>
              <w:ind w:left="1310" w:hanging="567"/>
              <w:jc w:val="both"/>
              <w:rPr>
                <w:rFonts w:ascii="MyriadPro-Regular" w:hAnsi="MyriadPro-Regular"/>
                <w:color w:val="000000" w:themeColor="text1"/>
                <w:lang w:val="es-ES" w:eastAsia="es-ES"/>
              </w:rPr>
            </w:pPr>
            <w:r w:rsidRPr="00596623">
              <w:rPr>
                <w:rFonts w:ascii="MyriadPro-Regular" w:hAnsi="MyriadPro-Regular"/>
                <w:color w:val="000000" w:themeColor="text1"/>
                <w:lang w:val="es-ES" w:eastAsia="es-ES"/>
              </w:rPr>
              <w:t>8.1.1.2 Reactivar las casas de las y los adolescentes del sector salud con fines de educación permanente.</w:t>
            </w:r>
          </w:p>
        </w:tc>
      </w:tr>
      <w:tr w:rsidR="00FB5FD9" w:rsidRPr="00596623" w14:paraId="668CC7B2" w14:textId="77777777" w:rsidTr="004733A8">
        <w:trPr>
          <w:jc w:val="center"/>
        </w:trPr>
        <w:tc>
          <w:tcPr>
            <w:tcW w:w="9072" w:type="dxa"/>
            <w:shd w:val="clear" w:color="auto" w:fill="auto"/>
          </w:tcPr>
          <w:p w14:paraId="76D8644D" w14:textId="77777777" w:rsidR="00FB5FD9" w:rsidRPr="00596623" w:rsidRDefault="00FB5FD9" w:rsidP="00FB5FD9">
            <w:pPr>
              <w:ind w:left="1310" w:hanging="567"/>
              <w:jc w:val="both"/>
              <w:rPr>
                <w:rFonts w:ascii="MyriadPro-Regular" w:hAnsi="MyriadPro-Regular"/>
                <w:color w:val="000000" w:themeColor="text1"/>
                <w:lang w:val="es-ES" w:eastAsia="es-ES"/>
              </w:rPr>
            </w:pPr>
            <w:r w:rsidRPr="00596623">
              <w:rPr>
                <w:rFonts w:ascii="MyriadPro-Regular" w:hAnsi="MyriadPro-Regular"/>
                <w:color w:val="000000" w:themeColor="text1"/>
                <w:lang w:val="es-ES" w:eastAsia="es-ES"/>
              </w:rPr>
              <w:t>8.1.1.3 Garantizar la seguridad alimentaria y mejorar la nutrición de la población indígena y personas adultas mayores a través de módulos de alimentación.</w:t>
            </w:r>
          </w:p>
        </w:tc>
      </w:tr>
      <w:tr w:rsidR="00FB5FD9" w:rsidRPr="00596623" w14:paraId="4487FFE1" w14:textId="77777777" w:rsidTr="004733A8">
        <w:trPr>
          <w:jc w:val="center"/>
        </w:trPr>
        <w:tc>
          <w:tcPr>
            <w:tcW w:w="9072" w:type="dxa"/>
            <w:shd w:val="clear" w:color="auto" w:fill="auto"/>
          </w:tcPr>
          <w:p w14:paraId="41D5DCE4" w14:textId="77777777" w:rsidR="00FB5FD9" w:rsidRPr="00596623" w:rsidRDefault="00FB5FD9" w:rsidP="00FB5FD9">
            <w:pPr>
              <w:ind w:left="1310" w:hanging="567"/>
              <w:jc w:val="both"/>
              <w:rPr>
                <w:rFonts w:ascii="MyriadPro-Regular" w:hAnsi="MyriadPro-Regular"/>
                <w:color w:val="000000" w:themeColor="text1"/>
                <w:lang w:val="es-ES" w:eastAsia="es-ES"/>
              </w:rPr>
            </w:pPr>
            <w:r w:rsidRPr="00596623">
              <w:rPr>
                <w:rFonts w:ascii="MyriadPro-Regular" w:hAnsi="MyriadPro-Regular"/>
                <w:color w:val="000000" w:themeColor="text1"/>
                <w:lang w:val="es-ES" w:eastAsia="es-ES"/>
              </w:rPr>
              <w:t>8.1.1.4 Involucrar interinstitucionalmente a las comunidades en la promoción de la salud, reducción de la mortalidad materna e infantil de grupos en situación de vulnerabilidad.</w:t>
            </w:r>
          </w:p>
        </w:tc>
      </w:tr>
      <w:tr w:rsidR="00FB5FD9" w:rsidRPr="00596623" w14:paraId="59A9B9F0" w14:textId="77777777" w:rsidTr="004733A8">
        <w:trPr>
          <w:jc w:val="center"/>
        </w:trPr>
        <w:tc>
          <w:tcPr>
            <w:tcW w:w="9072" w:type="dxa"/>
            <w:shd w:val="clear" w:color="auto" w:fill="auto"/>
          </w:tcPr>
          <w:p w14:paraId="3070278B" w14:textId="77777777" w:rsidR="00FB5FD9" w:rsidRPr="00596623" w:rsidRDefault="00FB5FD9" w:rsidP="00FB5FD9">
            <w:pPr>
              <w:ind w:left="1310" w:hanging="567"/>
              <w:contextualSpacing/>
              <w:jc w:val="both"/>
              <w:rPr>
                <w:rFonts w:ascii="MyriadPro-Regular" w:hAnsi="MyriadPro-Regular"/>
                <w:color w:val="000000" w:themeColor="text1"/>
                <w:lang w:val="es-ES" w:eastAsia="es-ES"/>
              </w:rPr>
            </w:pPr>
            <w:r w:rsidRPr="00596623">
              <w:rPr>
                <w:rFonts w:ascii="MyriadPro-Regular" w:hAnsi="MyriadPro-Regular"/>
                <w:color w:val="000000" w:themeColor="text1"/>
                <w:lang w:val="es-ES" w:eastAsia="es-ES"/>
              </w:rPr>
              <w:t>8.1.1.5 Promover acciones de alfabetización para grupos en situación de vulnerabilidad, incluyendo la capacitación para el trabajo y la alfabetización digital.</w:t>
            </w:r>
          </w:p>
        </w:tc>
      </w:tr>
      <w:tr w:rsidR="00FB5FD9" w:rsidRPr="00596623" w14:paraId="798F5F35" w14:textId="77777777" w:rsidTr="004733A8">
        <w:trPr>
          <w:jc w:val="center"/>
        </w:trPr>
        <w:tc>
          <w:tcPr>
            <w:tcW w:w="9072" w:type="dxa"/>
            <w:shd w:val="clear" w:color="auto" w:fill="auto"/>
          </w:tcPr>
          <w:p w14:paraId="5F4F201A" w14:textId="77777777" w:rsidR="00FB5FD9" w:rsidRPr="00596623" w:rsidRDefault="00FB5FD9" w:rsidP="00FB5FD9">
            <w:pPr>
              <w:ind w:left="1310" w:hanging="567"/>
              <w:jc w:val="both"/>
              <w:rPr>
                <w:rFonts w:ascii="MyriadPro-Regular" w:hAnsi="MyriadPro-Regular"/>
                <w:color w:val="000000" w:themeColor="text1"/>
                <w:lang w:val="es-ES" w:eastAsia="es-ES"/>
              </w:rPr>
            </w:pPr>
            <w:r w:rsidRPr="00596623">
              <w:rPr>
                <w:rFonts w:ascii="MyriadPro-Regular" w:hAnsi="MyriadPro-Regular"/>
                <w:color w:val="000000" w:themeColor="text1"/>
                <w:lang w:val="es-ES" w:eastAsia="es-ES"/>
              </w:rPr>
              <w:t>8.1.1.6 Promover proyectos y ejecución de obras para ampliar la infraestructura social y productiva de las zonas indígenas.</w:t>
            </w:r>
          </w:p>
        </w:tc>
      </w:tr>
      <w:tr w:rsidR="00FB5FD9" w:rsidRPr="00596623" w14:paraId="36EFD860" w14:textId="77777777" w:rsidTr="004733A8">
        <w:trPr>
          <w:jc w:val="center"/>
        </w:trPr>
        <w:tc>
          <w:tcPr>
            <w:tcW w:w="9072" w:type="dxa"/>
            <w:shd w:val="clear" w:color="auto" w:fill="auto"/>
          </w:tcPr>
          <w:p w14:paraId="0C446553" w14:textId="77777777" w:rsidR="00FB5FD9" w:rsidRPr="00596623" w:rsidRDefault="00FB5FD9" w:rsidP="00FB5FD9">
            <w:pPr>
              <w:ind w:left="1310" w:hanging="567"/>
              <w:jc w:val="both"/>
              <w:rPr>
                <w:rFonts w:ascii="MyriadPro-Regular" w:hAnsi="MyriadPro-Regular"/>
                <w:color w:val="000000" w:themeColor="text1"/>
                <w:lang w:val="es-ES" w:eastAsia="es-ES"/>
              </w:rPr>
            </w:pPr>
            <w:r w:rsidRPr="00596623">
              <w:rPr>
                <w:rFonts w:ascii="MyriadPro-Regular" w:hAnsi="MyriadPro-Regular"/>
                <w:color w:val="000000" w:themeColor="text1"/>
                <w:lang w:val="es-ES" w:eastAsia="es-ES"/>
              </w:rPr>
              <w:t>8.1.1.7 Fomentar la prevención de la salud infantil y juvenil a través de actividades artísticas.</w:t>
            </w:r>
          </w:p>
        </w:tc>
      </w:tr>
      <w:tr w:rsidR="00FB5FD9" w:rsidRPr="00596623" w14:paraId="5AFD0AD1" w14:textId="77777777" w:rsidTr="004733A8">
        <w:trPr>
          <w:jc w:val="center"/>
        </w:trPr>
        <w:tc>
          <w:tcPr>
            <w:tcW w:w="9072" w:type="dxa"/>
            <w:shd w:val="clear" w:color="auto" w:fill="auto"/>
          </w:tcPr>
          <w:p w14:paraId="2A4CAFB2" w14:textId="77777777" w:rsidR="00FB5FD9" w:rsidRPr="00596623" w:rsidRDefault="00FB5FD9" w:rsidP="00FB5FD9">
            <w:pPr>
              <w:ind w:left="1310" w:hanging="567"/>
              <w:contextualSpacing/>
              <w:jc w:val="both"/>
              <w:rPr>
                <w:rFonts w:ascii="MyriadPro-Regular" w:hAnsi="MyriadPro-Regular"/>
                <w:color w:val="000000" w:themeColor="text1"/>
                <w:lang w:val="es-ES" w:eastAsia="es-ES"/>
              </w:rPr>
            </w:pPr>
            <w:r w:rsidRPr="00596623">
              <w:rPr>
                <w:rFonts w:ascii="MyriadPro-Regular" w:hAnsi="MyriadPro-Regular"/>
                <w:color w:val="000000" w:themeColor="text1"/>
                <w:lang w:val="es-ES" w:eastAsia="es-ES"/>
              </w:rPr>
              <w:t>8.1.1.8 Implementar mecanismos efectivos de participación ciudadana para la consolidación de la democracia fomentando la participación autónoma y la organización de los ciudadanos, en espacios sectoriales y territoriales para el desarrollo comunitario.</w:t>
            </w:r>
          </w:p>
        </w:tc>
      </w:tr>
      <w:tr w:rsidR="00FB5FD9" w:rsidRPr="00596623" w14:paraId="40B7BD97" w14:textId="77777777" w:rsidTr="004733A8">
        <w:trPr>
          <w:jc w:val="center"/>
        </w:trPr>
        <w:tc>
          <w:tcPr>
            <w:tcW w:w="9072" w:type="dxa"/>
            <w:shd w:val="clear" w:color="auto" w:fill="auto"/>
          </w:tcPr>
          <w:p w14:paraId="3894D4E2" w14:textId="77777777" w:rsidR="00FB5FD9" w:rsidRPr="00596623" w:rsidRDefault="00FB5FD9" w:rsidP="00FB5FD9">
            <w:pPr>
              <w:tabs>
                <w:tab w:val="left" w:pos="803"/>
              </w:tabs>
              <w:ind w:left="1310" w:hanging="567"/>
              <w:contextualSpacing/>
              <w:jc w:val="both"/>
              <w:rPr>
                <w:rFonts w:ascii="MyriadPro-Regular" w:hAnsi="MyriadPro-Regular"/>
                <w:lang w:val="es-ES" w:eastAsia="es-ES"/>
              </w:rPr>
            </w:pPr>
            <w:r w:rsidRPr="00596623">
              <w:rPr>
                <w:rFonts w:ascii="MyriadPro-Regular" w:hAnsi="MyriadPro-Regular"/>
                <w:lang w:val="es-ES" w:eastAsia="es-ES"/>
              </w:rPr>
              <w:t xml:space="preserve">8.1.1.9 </w:t>
            </w:r>
            <w:r w:rsidRPr="00596623">
              <w:rPr>
                <w:rFonts w:ascii="MyriadPro-Regular" w:hAnsi="MyriadPro-Regular"/>
                <w:lang w:val="es-ES" w:eastAsia="es-ES"/>
              </w:rPr>
              <w:tab/>
              <w:t>Promover proyectos de cooperación internacional, con el propósito de garantizar el respeto a los derechos humanos y laborales como obligación universal y ponderar el valor social del trabajo migrante.</w:t>
            </w:r>
          </w:p>
        </w:tc>
      </w:tr>
      <w:tr w:rsidR="00FB5FD9" w:rsidRPr="00596623" w14:paraId="33B423B1" w14:textId="77777777" w:rsidTr="004733A8">
        <w:trPr>
          <w:jc w:val="center"/>
        </w:trPr>
        <w:tc>
          <w:tcPr>
            <w:tcW w:w="9072" w:type="dxa"/>
            <w:shd w:val="clear" w:color="auto" w:fill="auto"/>
          </w:tcPr>
          <w:p w14:paraId="63F11B60" w14:textId="77777777" w:rsidR="00FB5FD9" w:rsidRPr="00596623" w:rsidRDefault="00FB5FD9" w:rsidP="00FB5FD9">
            <w:pPr>
              <w:tabs>
                <w:tab w:val="left" w:pos="1026"/>
              </w:tabs>
              <w:ind w:left="1310" w:hanging="567"/>
              <w:contextualSpacing/>
              <w:jc w:val="both"/>
              <w:rPr>
                <w:rFonts w:ascii="MyriadPro-Regular" w:hAnsi="MyriadPro-Regular"/>
                <w:color w:val="000000"/>
                <w:lang w:val="es-ES" w:eastAsia="es-ES"/>
              </w:rPr>
            </w:pPr>
            <w:r w:rsidRPr="00596623">
              <w:rPr>
                <w:rFonts w:ascii="MyriadPro-Regular" w:hAnsi="MyriadPro-Regular"/>
                <w:color w:val="000000"/>
                <w:lang w:val="es-ES" w:eastAsia="es-ES"/>
              </w:rPr>
              <w:t>8.1.1.10</w:t>
            </w:r>
            <w:r w:rsidRPr="00596623">
              <w:rPr>
                <w:rFonts w:ascii="MyriadPro-Regular" w:hAnsi="MyriadPro-Regular"/>
                <w:color w:val="000000"/>
                <w:lang w:val="es-ES" w:eastAsia="es-ES"/>
              </w:rPr>
              <w:tab/>
              <w:t>Garantizar el derecho humano a la identidad de las personas a través de la regularización del estado civil.</w:t>
            </w:r>
          </w:p>
        </w:tc>
      </w:tr>
      <w:tr w:rsidR="00FB5FD9" w:rsidRPr="00596623" w14:paraId="03653793" w14:textId="77777777" w:rsidTr="004733A8">
        <w:trPr>
          <w:jc w:val="center"/>
        </w:trPr>
        <w:tc>
          <w:tcPr>
            <w:tcW w:w="9072" w:type="dxa"/>
            <w:shd w:val="clear" w:color="auto" w:fill="991359"/>
          </w:tcPr>
          <w:p w14:paraId="20CA13C5"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Objetivo</w:t>
            </w:r>
          </w:p>
        </w:tc>
      </w:tr>
      <w:tr w:rsidR="00FB5FD9" w:rsidRPr="00596623" w14:paraId="0A75B62F" w14:textId="77777777" w:rsidTr="004733A8">
        <w:trPr>
          <w:jc w:val="center"/>
        </w:trPr>
        <w:tc>
          <w:tcPr>
            <w:tcW w:w="9072" w:type="dxa"/>
            <w:shd w:val="clear" w:color="auto" w:fill="auto"/>
          </w:tcPr>
          <w:p w14:paraId="5D11AF0F" w14:textId="77777777" w:rsidR="00FB5FD9" w:rsidRPr="00596623" w:rsidRDefault="00FB5FD9" w:rsidP="00FB5FD9">
            <w:pPr>
              <w:ind w:left="346" w:hanging="346"/>
              <w:jc w:val="both"/>
              <w:rPr>
                <w:rFonts w:ascii="MyriadPro-Regular" w:hAnsi="MyriadPro-Regular"/>
                <w:lang w:val="es-ES" w:eastAsia="es-ES"/>
              </w:rPr>
            </w:pPr>
            <w:r w:rsidRPr="00596623">
              <w:rPr>
                <w:rFonts w:ascii="MyriadPro-Regular" w:hAnsi="MyriadPro-Regular"/>
                <w:lang w:val="es-ES" w:eastAsia="es-ES"/>
              </w:rPr>
              <w:t>8.2 Fomentar la integración social basada en un sentido de comunidad, solidaridad y trabajo colaborativo.</w:t>
            </w:r>
          </w:p>
        </w:tc>
      </w:tr>
      <w:tr w:rsidR="00FB5FD9" w:rsidRPr="00596623" w14:paraId="45F00E8B" w14:textId="77777777" w:rsidTr="004733A8">
        <w:trPr>
          <w:jc w:val="center"/>
        </w:trPr>
        <w:tc>
          <w:tcPr>
            <w:tcW w:w="9072" w:type="dxa"/>
            <w:shd w:val="clear" w:color="auto" w:fill="991359"/>
          </w:tcPr>
          <w:p w14:paraId="60DAD37B"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Línea estratégica</w:t>
            </w:r>
          </w:p>
        </w:tc>
      </w:tr>
      <w:tr w:rsidR="00FB5FD9" w:rsidRPr="00596623" w14:paraId="0BE6C9D3" w14:textId="77777777" w:rsidTr="004733A8">
        <w:trPr>
          <w:jc w:val="center"/>
        </w:trPr>
        <w:tc>
          <w:tcPr>
            <w:tcW w:w="9072" w:type="dxa"/>
            <w:shd w:val="clear" w:color="auto" w:fill="auto"/>
          </w:tcPr>
          <w:p w14:paraId="256AC3D0" w14:textId="77777777" w:rsidR="00FB5FD9" w:rsidRPr="00596623" w:rsidRDefault="00FB5FD9" w:rsidP="00FB5FD9">
            <w:pPr>
              <w:ind w:left="487"/>
              <w:rPr>
                <w:rFonts w:ascii="MyriadPro-Regular" w:hAnsi="MyriadPro-Regular"/>
                <w:lang w:val="es-ES" w:eastAsia="es-ES"/>
              </w:rPr>
            </w:pPr>
            <w:r w:rsidRPr="00596623">
              <w:rPr>
                <w:rFonts w:ascii="MyriadPro-Regular" w:hAnsi="MyriadPro-Regular"/>
                <w:color w:val="000000" w:themeColor="text1"/>
                <w:lang w:val="es-ES" w:eastAsia="es-ES"/>
              </w:rPr>
              <w:lastRenderedPageBreak/>
              <w:t>8.2.1 Incluir a todos.</w:t>
            </w:r>
          </w:p>
        </w:tc>
      </w:tr>
      <w:tr w:rsidR="00FB5FD9" w:rsidRPr="00596623" w14:paraId="3E720FDC" w14:textId="77777777" w:rsidTr="004733A8">
        <w:trPr>
          <w:jc w:val="center"/>
        </w:trPr>
        <w:tc>
          <w:tcPr>
            <w:tcW w:w="9072" w:type="dxa"/>
            <w:shd w:val="clear" w:color="auto" w:fill="991359"/>
          </w:tcPr>
          <w:p w14:paraId="2FD94D2A"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Acciones</w:t>
            </w:r>
          </w:p>
        </w:tc>
      </w:tr>
      <w:tr w:rsidR="00FB5FD9" w:rsidRPr="00596623" w14:paraId="370B0C47" w14:textId="77777777" w:rsidTr="004733A8">
        <w:trPr>
          <w:jc w:val="center"/>
        </w:trPr>
        <w:tc>
          <w:tcPr>
            <w:tcW w:w="9072" w:type="dxa"/>
            <w:shd w:val="clear" w:color="auto" w:fill="auto"/>
          </w:tcPr>
          <w:p w14:paraId="38D74F54" w14:textId="77777777" w:rsidR="00FB5FD9" w:rsidRPr="00596623" w:rsidRDefault="00FB5FD9" w:rsidP="00FB5FD9">
            <w:pPr>
              <w:ind w:left="2019" w:hanging="850"/>
              <w:contextualSpacing/>
              <w:jc w:val="both"/>
              <w:rPr>
                <w:rFonts w:ascii="MyriadPro-Regular" w:hAnsi="MyriadPro-Regular"/>
                <w:color w:val="000000" w:themeColor="text1"/>
                <w:lang w:val="es-ES" w:eastAsia="es-ES"/>
              </w:rPr>
            </w:pPr>
            <w:r w:rsidRPr="00596623">
              <w:rPr>
                <w:rFonts w:ascii="MyriadPro-Regular" w:hAnsi="MyriadPro-Regular"/>
                <w:color w:val="000000" w:themeColor="text1"/>
                <w:lang w:val="es-ES" w:eastAsia="es-ES"/>
              </w:rPr>
              <w:t>8.2.1.1 Generar un programa para la atención integral a jóvenes.</w:t>
            </w:r>
          </w:p>
        </w:tc>
      </w:tr>
      <w:tr w:rsidR="00FB5FD9" w:rsidRPr="00596623" w14:paraId="41DB1800" w14:textId="77777777" w:rsidTr="004733A8">
        <w:trPr>
          <w:jc w:val="center"/>
        </w:trPr>
        <w:tc>
          <w:tcPr>
            <w:tcW w:w="9072" w:type="dxa"/>
            <w:shd w:val="clear" w:color="auto" w:fill="auto"/>
          </w:tcPr>
          <w:p w14:paraId="3DE2D390" w14:textId="77777777" w:rsidR="00FB5FD9" w:rsidRPr="00596623" w:rsidRDefault="00FB5FD9" w:rsidP="00FB5FD9">
            <w:pPr>
              <w:ind w:left="2019" w:hanging="850"/>
              <w:contextualSpacing/>
              <w:jc w:val="both"/>
              <w:rPr>
                <w:rFonts w:ascii="MyriadPro-Regular" w:hAnsi="MyriadPro-Regular"/>
                <w:color w:val="000000" w:themeColor="text1"/>
                <w:lang w:val="es-ES" w:eastAsia="es-ES"/>
              </w:rPr>
            </w:pPr>
            <w:r w:rsidRPr="00596623">
              <w:rPr>
                <w:rFonts w:ascii="MyriadPro-Regular" w:hAnsi="MyriadPro-Regular"/>
                <w:color w:val="000000" w:themeColor="text1"/>
                <w:lang w:val="es-ES" w:eastAsia="es-ES"/>
              </w:rPr>
              <w:t xml:space="preserve">8.2.1.2 Apoyar proyectos productivos para jefas de familia. </w:t>
            </w:r>
          </w:p>
        </w:tc>
      </w:tr>
      <w:tr w:rsidR="00FB5FD9" w:rsidRPr="00596623" w14:paraId="3302AB57" w14:textId="77777777" w:rsidTr="004733A8">
        <w:trPr>
          <w:jc w:val="center"/>
        </w:trPr>
        <w:tc>
          <w:tcPr>
            <w:tcW w:w="9072" w:type="dxa"/>
            <w:shd w:val="clear" w:color="auto" w:fill="auto"/>
          </w:tcPr>
          <w:p w14:paraId="0D3485EE" w14:textId="77777777" w:rsidR="00FB5FD9" w:rsidRPr="00596623" w:rsidRDefault="00FB5FD9" w:rsidP="00FB5FD9">
            <w:pPr>
              <w:ind w:left="2019" w:hanging="850"/>
              <w:contextualSpacing/>
              <w:jc w:val="both"/>
              <w:rPr>
                <w:rFonts w:ascii="MyriadPro-Regular" w:hAnsi="MyriadPro-Regular"/>
                <w:color w:val="000000" w:themeColor="text1"/>
                <w:lang w:val="es-ES" w:eastAsia="es-ES"/>
              </w:rPr>
            </w:pPr>
            <w:r w:rsidRPr="00596623">
              <w:rPr>
                <w:rFonts w:ascii="MyriadPro-Regular" w:hAnsi="MyriadPro-Regular"/>
                <w:color w:val="000000" w:themeColor="text1"/>
                <w:lang w:val="es-ES" w:eastAsia="es-ES"/>
              </w:rPr>
              <w:t xml:space="preserve">8.2.1.3 Elevar el bienestar social multicultural. </w:t>
            </w:r>
          </w:p>
        </w:tc>
      </w:tr>
      <w:tr w:rsidR="00FB5FD9" w:rsidRPr="00596623" w14:paraId="65F33C8F" w14:textId="77777777" w:rsidTr="004733A8">
        <w:trPr>
          <w:jc w:val="center"/>
        </w:trPr>
        <w:tc>
          <w:tcPr>
            <w:tcW w:w="9072" w:type="dxa"/>
            <w:shd w:val="clear" w:color="auto" w:fill="auto"/>
          </w:tcPr>
          <w:p w14:paraId="08740512" w14:textId="77777777" w:rsidR="00FB5FD9" w:rsidRPr="00596623" w:rsidRDefault="00FB5FD9" w:rsidP="00FB5FD9">
            <w:pPr>
              <w:ind w:left="2019" w:hanging="850"/>
              <w:contextualSpacing/>
              <w:jc w:val="both"/>
              <w:rPr>
                <w:rFonts w:ascii="MyriadPro-Regular" w:hAnsi="MyriadPro-Regular"/>
                <w:color w:val="000000" w:themeColor="text1"/>
                <w:lang w:val="es-ES" w:eastAsia="es-ES"/>
              </w:rPr>
            </w:pPr>
            <w:r w:rsidRPr="00596623">
              <w:rPr>
                <w:rFonts w:ascii="MyriadPro-Regular" w:hAnsi="MyriadPro-Regular"/>
                <w:color w:val="000000" w:themeColor="text1"/>
                <w:lang w:val="es-ES" w:eastAsia="es-ES"/>
              </w:rPr>
              <w:t>8.2.1.4 Proteger a los adultos mayores, sobre todo a los más necesitados y desamparados que se encuentran sin apoyo familiar.</w:t>
            </w:r>
          </w:p>
        </w:tc>
      </w:tr>
      <w:tr w:rsidR="00FB5FD9" w:rsidRPr="00596623" w14:paraId="71BF4EEC" w14:textId="77777777" w:rsidTr="004733A8">
        <w:trPr>
          <w:jc w:val="center"/>
        </w:trPr>
        <w:tc>
          <w:tcPr>
            <w:tcW w:w="9072" w:type="dxa"/>
            <w:shd w:val="clear" w:color="auto" w:fill="auto"/>
          </w:tcPr>
          <w:p w14:paraId="3F671C8E" w14:textId="77777777" w:rsidR="00FB5FD9" w:rsidRPr="00596623" w:rsidRDefault="00FB5FD9" w:rsidP="00FB5FD9">
            <w:pPr>
              <w:tabs>
                <w:tab w:val="left" w:pos="884"/>
              </w:tabs>
              <w:ind w:left="2019" w:hanging="850"/>
              <w:jc w:val="both"/>
              <w:rPr>
                <w:rFonts w:ascii="MyriadPro-Regular" w:hAnsi="MyriadPro-Regular"/>
                <w:color w:val="000000" w:themeColor="text1"/>
                <w:lang w:val="es-ES" w:eastAsia="es-ES"/>
              </w:rPr>
            </w:pPr>
            <w:r w:rsidRPr="00596623">
              <w:rPr>
                <w:rFonts w:ascii="MyriadPro-Regular" w:hAnsi="MyriadPro-Regular"/>
                <w:color w:val="000000" w:themeColor="text1"/>
                <w:lang w:val="es-ES" w:eastAsia="es-ES"/>
              </w:rPr>
              <w:t xml:space="preserve">8.2.1.5 </w:t>
            </w:r>
            <w:r w:rsidRPr="00596623">
              <w:rPr>
                <w:rFonts w:ascii="MyriadPro-Regular" w:hAnsi="MyriadPro-Regular"/>
                <w:color w:val="000000" w:themeColor="text1"/>
                <w:lang w:val="es-ES" w:eastAsia="es-ES"/>
              </w:rPr>
              <w:tab/>
              <w:t>Formular el Programa Especial de Migración para el Estado de Michoacán.</w:t>
            </w:r>
          </w:p>
        </w:tc>
      </w:tr>
      <w:tr w:rsidR="00FB5FD9" w:rsidRPr="00596623" w14:paraId="6405166B" w14:textId="77777777" w:rsidTr="004733A8">
        <w:trPr>
          <w:jc w:val="center"/>
        </w:trPr>
        <w:tc>
          <w:tcPr>
            <w:tcW w:w="9072" w:type="dxa"/>
            <w:shd w:val="clear" w:color="auto" w:fill="991359"/>
          </w:tcPr>
          <w:p w14:paraId="53439DAF"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Línea estratégica</w:t>
            </w:r>
          </w:p>
        </w:tc>
      </w:tr>
      <w:tr w:rsidR="00FB5FD9" w:rsidRPr="00596623" w14:paraId="72E706D8" w14:textId="77777777" w:rsidTr="004733A8">
        <w:trPr>
          <w:jc w:val="center"/>
        </w:trPr>
        <w:tc>
          <w:tcPr>
            <w:tcW w:w="9072" w:type="dxa"/>
            <w:shd w:val="clear" w:color="auto" w:fill="auto"/>
          </w:tcPr>
          <w:p w14:paraId="3239EA87" w14:textId="77777777" w:rsidR="00FB5FD9" w:rsidRPr="00596623" w:rsidRDefault="00FB5FD9" w:rsidP="00FB5FD9">
            <w:pPr>
              <w:ind w:left="487"/>
              <w:rPr>
                <w:rFonts w:ascii="MyriadPro-Regular" w:hAnsi="MyriadPro-Regular"/>
                <w:lang w:val="es-ES" w:eastAsia="es-ES"/>
              </w:rPr>
            </w:pPr>
            <w:r w:rsidRPr="00596623">
              <w:rPr>
                <w:rFonts w:ascii="MyriadPro-Regular" w:hAnsi="MyriadPro-Regular"/>
                <w:color w:val="000000" w:themeColor="text1"/>
                <w:lang w:val="es-ES" w:eastAsia="es-ES"/>
              </w:rPr>
              <w:t>8.2.2 Propiciar la cohesión y participación social.</w:t>
            </w:r>
          </w:p>
        </w:tc>
      </w:tr>
      <w:tr w:rsidR="00FB5FD9" w:rsidRPr="00596623" w14:paraId="76EBD9B7" w14:textId="77777777" w:rsidTr="004733A8">
        <w:trPr>
          <w:jc w:val="center"/>
        </w:trPr>
        <w:tc>
          <w:tcPr>
            <w:tcW w:w="9072" w:type="dxa"/>
            <w:shd w:val="clear" w:color="auto" w:fill="991359"/>
          </w:tcPr>
          <w:p w14:paraId="23FE8974"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Acciones</w:t>
            </w:r>
          </w:p>
        </w:tc>
      </w:tr>
      <w:tr w:rsidR="00FB5FD9" w:rsidRPr="00596623" w14:paraId="5BFEE264" w14:textId="77777777" w:rsidTr="004733A8">
        <w:trPr>
          <w:jc w:val="center"/>
        </w:trPr>
        <w:tc>
          <w:tcPr>
            <w:tcW w:w="9072" w:type="dxa"/>
            <w:shd w:val="clear" w:color="auto" w:fill="auto"/>
          </w:tcPr>
          <w:p w14:paraId="510C329F"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8.2.2.1 Fortalecer la participación juvenil en la construcción de ciudadanía, formación de liderazgos y redes sociales.</w:t>
            </w:r>
          </w:p>
        </w:tc>
      </w:tr>
      <w:tr w:rsidR="00FB5FD9" w:rsidRPr="00596623" w14:paraId="1B9A170C" w14:textId="77777777" w:rsidTr="004733A8">
        <w:trPr>
          <w:jc w:val="center"/>
        </w:trPr>
        <w:tc>
          <w:tcPr>
            <w:tcW w:w="9072" w:type="dxa"/>
            <w:shd w:val="clear" w:color="auto" w:fill="auto"/>
          </w:tcPr>
          <w:p w14:paraId="5C3FEDFE"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8.2.2.2 Promover la difusión de los derechos humanos como garantes de convivencia, paz y justicia.</w:t>
            </w:r>
          </w:p>
        </w:tc>
      </w:tr>
      <w:tr w:rsidR="00FB5FD9" w:rsidRPr="00596623" w14:paraId="2EDA6E90" w14:textId="77777777" w:rsidTr="004733A8">
        <w:trPr>
          <w:jc w:val="center"/>
        </w:trPr>
        <w:tc>
          <w:tcPr>
            <w:tcW w:w="9072" w:type="dxa"/>
            <w:shd w:val="clear" w:color="auto" w:fill="auto"/>
          </w:tcPr>
          <w:p w14:paraId="0172DECF"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8.2.2.3 Impulsar acciones que garanticen a migrantes del territorio estatal sus derechos humanos y condiciones de seguridad.</w:t>
            </w:r>
          </w:p>
        </w:tc>
      </w:tr>
      <w:tr w:rsidR="00FB5FD9" w:rsidRPr="00596623" w14:paraId="2D915808" w14:textId="77777777" w:rsidTr="004733A8">
        <w:trPr>
          <w:jc w:val="center"/>
        </w:trPr>
        <w:tc>
          <w:tcPr>
            <w:tcW w:w="9072" w:type="dxa"/>
            <w:shd w:val="clear" w:color="auto" w:fill="auto"/>
          </w:tcPr>
          <w:p w14:paraId="0CD0491B"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8.2.2.4 Formar grupos y organizaciones culturales y artísticas de jóvenes, niñas y niños en diversos espacios de la comunidad.</w:t>
            </w:r>
          </w:p>
        </w:tc>
      </w:tr>
      <w:tr w:rsidR="00FB5FD9" w:rsidRPr="00596623" w14:paraId="3D3E0D61" w14:textId="77777777" w:rsidTr="004733A8">
        <w:trPr>
          <w:jc w:val="center"/>
        </w:trPr>
        <w:tc>
          <w:tcPr>
            <w:tcW w:w="9072" w:type="dxa"/>
            <w:shd w:val="clear" w:color="auto" w:fill="auto"/>
          </w:tcPr>
          <w:p w14:paraId="3BEAE41D" w14:textId="77777777" w:rsidR="00FB5FD9" w:rsidRPr="00596623" w:rsidRDefault="00FB5FD9" w:rsidP="00FB5FD9">
            <w:pPr>
              <w:tabs>
                <w:tab w:val="left" w:pos="938"/>
              </w:tabs>
              <w:ind w:left="2019" w:hanging="850"/>
              <w:jc w:val="both"/>
              <w:rPr>
                <w:rFonts w:ascii="MyriadPro-Regular" w:hAnsi="MyriadPro-Regular"/>
                <w:lang w:val="es-ES" w:eastAsia="es-ES"/>
              </w:rPr>
            </w:pPr>
            <w:r w:rsidRPr="00596623">
              <w:rPr>
                <w:rFonts w:ascii="MyriadPro-Regular" w:hAnsi="MyriadPro-Regular"/>
                <w:lang w:val="es-ES" w:eastAsia="es-ES"/>
              </w:rPr>
              <w:t xml:space="preserve">8.2.2.5 </w:t>
            </w:r>
            <w:r w:rsidRPr="00596623">
              <w:rPr>
                <w:rFonts w:ascii="MyriadPro-Regular" w:hAnsi="MyriadPro-Regular"/>
                <w:lang w:val="es-ES" w:eastAsia="es-ES"/>
              </w:rPr>
              <w:tab/>
              <w:t>Fortalecer los 113 centros municipales de atención al migrante.</w:t>
            </w:r>
            <w:r w:rsidRPr="00596623">
              <w:rPr>
                <w:rFonts w:ascii="MyriadPro-Regular" w:hAnsi="MyriadPro-Regular"/>
                <w:strike/>
                <w:lang w:val="es-ES" w:eastAsia="es-ES"/>
              </w:rPr>
              <w:t xml:space="preserve"> </w:t>
            </w:r>
          </w:p>
        </w:tc>
      </w:tr>
      <w:tr w:rsidR="00FB5FD9" w:rsidRPr="00596623" w14:paraId="1E958AF7" w14:textId="77777777" w:rsidTr="004733A8">
        <w:trPr>
          <w:jc w:val="center"/>
        </w:trPr>
        <w:tc>
          <w:tcPr>
            <w:tcW w:w="9072" w:type="dxa"/>
            <w:shd w:val="clear" w:color="auto" w:fill="auto"/>
          </w:tcPr>
          <w:p w14:paraId="1094267F" w14:textId="77777777" w:rsidR="00FB5FD9" w:rsidRPr="00596623" w:rsidRDefault="00FB5FD9" w:rsidP="00FB5FD9">
            <w:pPr>
              <w:ind w:left="2019" w:hanging="850"/>
              <w:jc w:val="both"/>
              <w:rPr>
                <w:rFonts w:ascii="MyriadPro-Regular" w:hAnsi="MyriadPro-Regular"/>
                <w:lang w:val="es-ES" w:eastAsia="es-ES"/>
              </w:rPr>
            </w:pPr>
            <w:r w:rsidRPr="00596623">
              <w:rPr>
                <w:rFonts w:ascii="MyriadPro-Regular" w:hAnsi="MyriadPro-Regular"/>
                <w:lang w:val="es-ES" w:eastAsia="es-ES"/>
              </w:rPr>
              <w:t>8.2.2.6 Implementar acciones que les garantice a las mujeres el derecho de acceso a espacios urbanísticos de una forma segura y en condiciones de igualdad.</w:t>
            </w:r>
          </w:p>
        </w:tc>
      </w:tr>
      <w:tr w:rsidR="00FB5FD9" w:rsidRPr="00596623" w14:paraId="3DECF42D" w14:textId="77777777" w:rsidTr="004733A8">
        <w:trPr>
          <w:jc w:val="center"/>
        </w:trPr>
        <w:tc>
          <w:tcPr>
            <w:tcW w:w="9072" w:type="dxa"/>
            <w:shd w:val="clear" w:color="auto" w:fill="991359"/>
          </w:tcPr>
          <w:p w14:paraId="6A00DB60"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Línea estratégica</w:t>
            </w:r>
          </w:p>
        </w:tc>
      </w:tr>
      <w:tr w:rsidR="00FB5FD9" w:rsidRPr="00596623" w14:paraId="7436F783" w14:textId="77777777" w:rsidTr="004733A8">
        <w:trPr>
          <w:jc w:val="center"/>
        </w:trPr>
        <w:tc>
          <w:tcPr>
            <w:tcW w:w="9072" w:type="dxa"/>
            <w:shd w:val="clear" w:color="auto" w:fill="auto"/>
          </w:tcPr>
          <w:p w14:paraId="46603751" w14:textId="77777777" w:rsidR="00FB5FD9" w:rsidRPr="00596623" w:rsidRDefault="00FB5FD9" w:rsidP="00FB5FD9">
            <w:pPr>
              <w:ind w:left="487"/>
              <w:rPr>
                <w:rFonts w:ascii="MyriadPro-Regular" w:hAnsi="MyriadPro-Regular"/>
                <w:lang w:val="es-ES" w:eastAsia="es-ES"/>
              </w:rPr>
            </w:pPr>
            <w:r w:rsidRPr="00596623">
              <w:rPr>
                <w:rFonts w:ascii="MyriadPro-Regular" w:hAnsi="MyriadPro-Regular"/>
                <w:lang w:val="es-ES" w:eastAsia="es-ES"/>
              </w:rPr>
              <w:t>8.2.3 Conocer y apreciar nuestra multiculturalidad.</w:t>
            </w:r>
          </w:p>
        </w:tc>
      </w:tr>
      <w:tr w:rsidR="00FB5FD9" w:rsidRPr="00596623" w14:paraId="6A438B5B" w14:textId="77777777" w:rsidTr="004733A8">
        <w:trPr>
          <w:trHeight w:val="347"/>
          <w:jc w:val="center"/>
        </w:trPr>
        <w:tc>
          <w:tcPr>
            <w:tcW w:w="9072" w:type="dxa"/>
            <w:shd w:val="clear" w:color="auto" w:fill="991359"/>
          </w:tcPr>
          <w:p w14:paraId="7BC25BAA"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Acciones</w:t>
            </w:r>
          </w:p>
        </w:tc>
      </w:tr>
      <w:tr w:rsidR="00FB5FD9" w:rsidRPr="00596623" w14:paraId="6752D064" w14:textId="77777777" w:rsidTr="004733A8">
        <w:trPr>
          <w:jc w:val="center"/>
        </w:trPr>
        <w:tc>
          <w:tcPr>
            <w:tcW w:w="9072" w:type="dxa"/>
            <w:shd w:val="clear" w:color="auto" w:fill="auto"/>
          </w:tcPr>
          <w:p w14:paraId="3C4612FA" w14:textId="77777777" w:rsidR="00FB5FD9" w:rsidRPr="00596623" w:rsidRDefault="00FB5FD9" w:rsidP="00FB5FD9">
            <w:pPr>
              <w:ind w:left="2019" w:hanging="850"/>
              <w:jc w:val="both"/>
              <w:rPr>
                <w:rFonts w:ascii="MyriadPro-Regular" w:hAnsi="MyriadPro-Regular"/>
                <w:lang w:val="es-ES" w:eastAsia="es-ES"/>
              </w:rPr>
            </w:pPr>
            <w:r w:rsidRPr="00596623">
              <w:rPr>
                <w:rFonts w:ascii="MyriadPro-Regular" w:hAnsi="MyriadPro-Regular"/>
                <w:lang w:val="es-ES" w:eastAsia="es-ES"/>
              </w:rPr>
              <w:t>8.2.3.1 Fortalecer la vinculación binacional y potenciar las acciones lideradas por los migrantes y sus familias como pivote de cambio y bienestar.</w:t>
            </w:r>
          </w:p>
        </w:tc>
      </w:tr>
      <w:tr w:rsidR="00FB5FD9" w:rsidRPr="00596623" w14:paraId="0EB9558C" w14:textId="77777777" w:rsidTr="004733A8">
        <w:trPr>
          <w:jc w:val="center"/>
        </w:trPr>
        <w:tc>
          <w:tcPr>
            <w:tcW w:w="9072" w:type="dxa"/>
            <w:shd w:val="clear" w:color="auto" w:fill="auto"/>
          </w:tcPr>
          <w:p w14:paraId="6F1188C8" w14:textId="77777777" w:rsidR="00FB5FD9" w:rsidRPr="00596623" w:rsidRDefault="00FB5FD9" w:rsidP="00FB5FD9">
            <w:pPr>
              <w:tabs>
                <w:tab w:val="left" w:pos="1356"/>
              </w:tabs>
              <w:ind w:left="2019" w:hanging="850"/>
              <w:jc w:val="both"/>
              <w:rPr>
                <w:rFonts w:ascii="MyriadPro-Regular" w:hAnsi="MyriadPro-Regular"/>
                <w:lang w:val="es-ES" w:eastAsia="es-ES"/>
              </w:rPr>
            </w:pPr>
            <w:r w:rsidRPr="00596623">
              <w:rPr>
                <w:rFonts w:ascii="MyriadPro-Regular" w:hAnsi="MyriadPro-Regular"/>
                <w:lang w:val="es-ES" w:eastAsia="es-ES"/>
              </w:rPr>
              <w:t>8.2.3.2 Impulsar el ahorro de los migrantes con el fin de beneficiar a sus lugares de origen y contar con un fondo para su retiro en Michoacán.</w:t>
            </w:r>
          </w:p>
        </w:tc>
      </w:tr>
      <w:tr w:rsidR="00FB5FD9" w:rsidRPr="00596623" w14:paraId="467F901E" w14:textId="77777777" w:rsidTr="004733A8">
        <w:trPr>
          <w:jc w:val="center"/>
        </w:trPr>
        <w:tc>
          <w:tcPr>
            <w:tcW w:w="9072" w:type="dxa"/>
            <w:shd w:val="clear" w:color="auto" w:fill="auto"/>
          </w:tcPr>
          <w:p w14:paraId="77139D1E"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8.2.3.3 Potencializar la reinserción laboral de migrantes en retorno con empleo bien remunerado y trabajo digno.</w:t>
            </w:r>
          </w:p>
        </w:tc>
      </w:tr>
      <w:tr w:rsidR="00FB5FD9" w:rsidRPr="00596623" w14:paraId="7C4B9D54" w14:textId="77777777" w:rsidTr="004733A8">
        <w:trPr>
          <w:jc w:val="center"/>
        </w:trPr>
        <w:tc>
          <w:tcPr>
            <w:tcW w:w="9072" w:type="dxa"/>
            <w:shd w:val="clear" w:color="auto" w:fill="auto"/>
          </w:tcPr>
          <w:p w14:paraId="26C8B16E"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8.2.3.4 Promover el uso de las lenguas indígenas en el Estado.</w:t>
            </w:r>
          </w:p>
        </w:tc>
      </w:tr>
      <w:tr w:rsidR="00FB5FD9" w:rsidRPr="00596623" w14:paraId="4A4786E3" w14:textId="77777777" w:rsidTr="004733A8">
        <w:trPr>
          <w:jc w:val="center"/>
        </w:trPr>
        <w:tc>
          <w:tcPr>
            <w:tcW w:w="9072" w:type="dxa"/>
            <w:shd w:val="clear" w:color="auto" w:fill="auto"/>
          </w:tcPr>
          <w:p w14:paraId="7BDF8D95"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8.2.3.5 Fortalecer la coordinación interinstitucional para impulsar el desarrollo integral de los pueblos y comunidades indígenas y grupos en situación de vulnerabilidad.</w:t>
            </w:r>
          </w:p>
        </w:tc>
      </w:tr>
      <w:tr w:rsidR="00FB5FD9" w:rsidRPr="00596623" w14:paraId="0B2092E4" w14:textId="77777777" w:rsidTr="004733A8">
        <w:trPr>
          <w:jc w:val="center"/>
        </w:trPr>
        <w:tc>
          <w:tcPr>
            <w:tcW w:w="9072" w:type="dxa"/>
            <w:shd w:val="clear" w:color="auto" w:fill="auto"/>
          </w:tcPr>
          <w:p w14:paraId="350E92C0"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8.2.3.6 Promover la acreditación de parteras y médicos tradicionales para mejorar la atención de la salud a indígenas.</w:t>
            </w:r>
          </w:p>
        </w:tc>
      </w:tr>
      <w:tr w:rsidR="00FB5FD9" w:rsidRPr="00596623" w14:paraId="24FFDA90" w14:textId="77777777" w:rsidTr="004733A8">
        <w:trPr>
          <w:jc w:val="center"/>
        </w:trPr>
        <w:tc>
          <w:tcPr>
            <w:tcW w:w="9072" w:type="dxa"/>
            <w:shd w:val="clear" w:color="auto" w:fill="auto"/>
          </w:tcPr>
          <w:p w14:paraId="7BAFDEB6"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8.2.3.7 Fortalecer las manifestaciones tradicionales de los pueblos indígenas de la entidad.</w:t>
            </w:r>
          </w:p>
        </w:tc>
      </w:tr>
      <w:tr w:rsidR="00FB5FD9" w:rsidRPr="00596623" w14:paraId="28415AEA" w14:textId="77777777" w:rsidTr="004733A8">
        <w:trPr>
          <w:jc w:val="center"/>
        </w:trPr>
        <w:tc>
          <w:tcPr>
            <w:tcW w:w="9072" w:type="dxa"/>
            <w:shd w:val="clear" w:color="auto" w:fill="auto"/>
          </w:tcPr>
          <w:p w14:paraId="06709644"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8.2.3.8 Fomentar las manifestaciones culturales de los pueblos originarios entre la comunidad migrante de Michoacán.</w:t>
            </w:r>
          </w:p>
        </w:tc>
      </w:tr>
      <w:tr w:rsidR="00FB5FD9" w:rsidRPr="00596623" w14:paraId="144A799A" w14:textId="77777777" w:rsidTr="004733A8">
        <w:trPr>
          <w:jc w:val="center"/>
        </w:trPr>
        <w:tc>
          <w:tcPr>
            <w:tcW w:w="9072" w:type="dxa"/>
            <w:shd w:val="clear" w:color="auto" w:fill="auto"/>
          </w:tcPr>
          <w:p w14:paraId="6E497CED" w14:textId="77777777" w:rsidR="00FB5FD9" w:rsidRPr="00596623" w:rsidRDefault="00FB5FD9" w:rsidP="00FB5FD9">
            <w:pPr>
              <w:tabs>
                <w:tab w:val="left" w:pos="1540"/>
              </w:tabs>
              <w:ind w:left="2019" w:hanging="850"/>
              <w:jc w:val="both"/>
              <w:rPr>
                <w:rFonts w:ascii="MyriadPro-Regular" w:hAnsi="MyriadPro-Regular"/>
                <w:lang w:val="es-ES" w:eastAsia="es-ES"/>
              </w:rPr>
            </w:pPr>
            <w:r w:rsidRPr="00596623">
              <w:rPr>
                <w:rFonts w:ascii="MyriadPro-Regular" w:hAnsi="MyriadPro-Regular"/>
                <w:lang w:val="es-ES" w:eastAsia="es-ES"/>
              </w:rPr>
              <w:t>8.2.3.9 Preservar el patrimonio cultural tangible e intangible de la entidad y recuperar la medicina tradicional como un medio de generar desarrollo, salud y bienestar.</w:t>
            </w:r>
          </w:p>
        </w:tc>
      </w:tr>
      <w:tr w:rsidR="00FB5FD9" w:rsidRPr="00596623" w14:paraId="76045D75" w14:textId="77777777" w:rsidTr="004733A8">
        <w:trPr>
          <w:jc w:val="center"/>
        </w:trPr>
        <w:tc>
          <w:tcPr>
            <w:tcW w:w="9072" w:type="dxa"/>
            <w:shd w:val="clear" w:color="auto" w:fill="991359"/>
          </w:tcPr>
          <w:p w14:paraId="0827B2D5"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Objetivo</w:t>
            </w:r>
          </w:p>
        </w:tc>
      </w:tr>
      <w:tr w:rsidR="00FB5FD9" w:rsidRPr="00596623" w14:paraId="41042FD5" w14:textId="77777777" w:rsidTr="004733A8">
        <w:trPr>
          <w:jc w:val="center"/>
        </w:trPr>
        <w:tc>
          <w:tcPr>
            <w:tcW w:w="9072" w:type="dxa"/>
            <w:shd w:val="clear" w:color="auto" w:fill="auto"/>
          </w:tcPr>
          <w:p w14:paraId="208247AB" w14:textId="77777777" w:rsidR="00FB5FD9" w:rsidRPr="00596623" w:rsidRDefault="00FB5FD9" w:rsidP="00FB5FD9">
            <w:pPr>
              <w:ind w:left="346" w:hanging="346"/>
              <w:jc w:val="both"/>
              <w:rPr>
                <w:rFonts w:ascii="MyriadPro-Regular" w:hAnsi="MyriadPro-Regular"/>
                <w:lang w:val="es-ES" w:eastAsia="es-ES"/>
              </w:rPr>
            </w:pPr>
            <w:r w:rsidRPr="00596623">
              <w:rPr>
                <w:rFonts w:ascii="MyriadPro-Regular" w:hAnsi="MyriadPro-Regular"/>
                <w:lang w:val="es-ES" w:eastAsia="es-ES"/>
              </w:rPr>
              <w:t>8.3 Promover la inclusión y la no discriminación a través de la cultura, la educación, el trabajo y la igualdad real de oportunidades.</w:t>
            </w:r>
          </w:p>
        </w:tc>
      </w:tr>
      <w:tr w:rsidR="00FB5FD9" w:rsidRPr="00596623" w14:paraId="5111AADB" w14:textId="77777777" w:rsidTr="004733A8">
        <w:trPr>
          <w:jc w:val="center"/>
        </w:trPr>
        <w:tc>
          <w:tcPr>
            <w:tcW w:w="9072" w:type="dxa"/>
            <w:shd w:val="clear" w:color="auto" w:fill="991359"/>
          </w:tcPr>
          <w:p w14:paraId="58ABC782"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Línea estratégica</w:t>
            </w:r>
          </w:p>
        </w:tc>
      </w:tr>
      <w:tr w:rsidR="00FB5FD9" w:rsidRPr="00596623" w14:paraId="4922577A" w14:textId="77777777" w:rsidTr="004733A8">
        <w:trPr>
          <w:jc w:val="center"/>
        </w:trPr>
        <w:tc>
          <w:tcPr>
            <w:tcW w:w="9072" w:type="dxa"/>
            <w:shd w:val="clear" w:color="auto" w:fill="auto"/>
          </w:tcPr>
          <w:p w14:paraId="2DD46B3A" w14:textId="77777777" w:rsidR="00FB5FD9" w:rsidRPr="00596623" w:rsidRDefault="00FB5FD9" w:rsidP="00FB5FD9">
            <w:pPr>
              <w:ind w:left="487"/>
              <w:rPr>
                <w:rFonts w:ascii="MyriadPro-Regular" w:hAnsi="MyriadPro-Regular"/>
                <w:lang w:val="es-ES" w:eastAsia="es-ES"/>
              </w:rPr>
            </w:pPr>
            <w:r w:rsidRPr="00596623">
              <w:rPr>
                <w:rFonts w:ascii="MyriadPro-Regular" w:hAnsi="MyriadPro-Regular"/>
                <w:lang w:val="es-ES" w:eastAsia="es-ES"/>
              </w:rPr>
              <w:t>8.3.1 Promover la igualdad sustantiva.</w:t>
            </w:r>
          </w:p>
        </w:tc>
      </w:tr>
      <w:tr w:rsidR="00FB5FD9" w:rsidRPr="00596623" w14:paraId="4437F8B6" w14:textId="77777777" w:rsidTr="004733A8">
        <w:trPr>
          <w:jc w:val="center"/>
        </w:trPr>
        <w:tc>
          <w:tcPr>
            <w:tcW w:w="9072" w:type="dxa"/>
            <w:shd w:val="clear" w:color="auto" w:fill="991359"/>
          </w:tcPr>
          <w:p w14:paraId="4582C121"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Acciones</w:t>
            </w:r>
          </w:p>
        </w:tc>
      </w:tr>
      <w:tr w:rsidR="00FB5FD9" w:rsidRPr="00596623" w14:paraId="591A9025" w14:textId="77777777" w:rsidTr="004733A8">
        <w:trPr>
          <w:jc w:val="center"/>
        </w:trPr>
        <w:tc>
          <w:tcPr>
            <w:tcW w:w="9072" w:type="dxa"/>
            <w:shd w:val="clear" w:color="auto" w:fill="auto"/>
          </w:tcPr>
          <w:p w14:paraId="324D4346" w14:textId="77777777" w:rsidR="00FB5FD9" w:rsidRPr="00596623" w:rsidRDefault="00FB5FD9" w:rsidP="00FB5FD9">
            <w:pPr>
              <w:tabs>
                <w:tab w:val="left" w:pos="1306"/>
              </w:tabs>
              <w:ind w:left="2019" w:hanging="850"/>
              <w:rPr>
                <w:rFonts w:ascii="MyriadPro-Regular" w:hAnsi="MyriadPro-Regular"/>
                <w:lang w:val="es-ES" w:eastAsia="es-ES"/>
              </w:rPr>
            </w:pPr>
            <w:r w:rsidRPr="00596623">
              <w:rPr>
                <w:rFonts w:ascii="MyriadPro-Regular" w:hAnsi="MyriadPro-Regular"/>
                <w:lang w:val="es-ES" w:eastAsia="es-ES"/>
              </w:rPr>
              <w:t>8.3.1.1 Diseñar mecanismos innovadores y efectivos para proteger a las mujeres, entre éstos crear una línea telefónica 01800 para atención de violencia de género.</w:t>
            </w:r>
          </w:p>
        </w:tc>
      </w:tr>
      <w:tr w:rsidR="00FB5FD9" w:rsidRPr="00596623" w14:paraId="32590A01" w14:textId="77777777" w:rsidTr="004733A8">
        <w:trPr>
          <w:jc w:val="center"/>
        </w:trPr>
        <w:tc>
          <w:tcPr>
            <w:tcW w:w="9072" w:type="dxa"/>
            <w:shd w:val="clear" w:color="auto" w:fill="auto"/>
          </w:tcPr>
          <w:p w14:paraId="6B18D2BA"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lastRenderedPageBreak/>
              <w:t>8.3.1.2 Asegurar el acceso a la justicia de todos los ciudadanos y construir diversas herramientas para acabar con la discriminación promoviendo la inclusión en el desarrollo.</w:t>
            </w:r>
          </w:p>
        </w:tc>
      </w:tr>
      <w:tr w:rsidR="00FB5FD9" w:rsidRPr="00596623" w14:paraId="15CB0591" w14:textId="77777777" w:rsidTr="004733A8">
        <w:trPr>
          <w:jc w:val="center"/>
        </w:trPr>
        <w:tc>
          <w:tcPr>
            <w:tcW w:w="9072" w:type="dxa"/>
            <w:shd w:val="clear" w:color="auto" w:fill="auto"/>
          </w:tcPr>
          <w:p w14:paraId="1CE19983" w14:textId="77777777" w:rsidR="00FB5FD9" w:rsidRPr="00596623" w:rsidRDefault="00FB5FD9" w:rsidP="00FB5FD9">
            <w:pPr>
              <w:tabs>
                <w:tab w:val="left" w:pos="1323"/>
              </w:tabs>
              <w:ind w:left="2019" w:hanging="850"/>
              <w:contextualSpacing/>
              <w:jc w:val="both"/>
              <w:rPr>
                <w:rFonts w:ascii="MyriadPro-Regular" w:hAnsi="MyriadPro-Regular"/>
                <w:lang w:val="es-ES" w:eastAsia="es-ES"/>
              </w:rPr>
            </w:pPr>
            <w:r w:rsidRPr="00596623">
              <w:rPr>
                <w:rFonts w:ascii="MyriadPro-Regular" w:hAnsi="MyriadPro-Regular"/>
                <w:lang w:val="es-ES" w:eastAsia="es-ES"/>
              </w:rPr>
              <w:t>8.3.1.3 Fortalecer los derechos y la protección a la mujer indígena, así como el servicio de intérpretes traductores especializados y defensores de oficio que acompañen a los indígenas sujetos a proceso.</w:t>
            </w:r>
          </w:p>
        </w:tc>
      </w:tr>
      <w:tr w:rsidR="00FB5FD9" w:rsidRPr="00596623" w14:paraId="4F95AF18" w14:textId="77777777" w:rsidTr="004733A8">
        <w:trPr>
          <w:jc w:val="center"/>
        </w:trPr>
        <w:tc>
          <w:tcPr>
            <w:tcW w:w="9072" w:type="dxa"/>
            <w:shd w:val="clear" w:color="auto" w:fill="auto"/>
          </w:tcPr>
          <w:p w14:paraId="28A15063"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8.3.1.4 Incorporar a las actividades de la educación artística y el desarrollo cultural a los diversos grupos en situación de vulnerabilidad.</w:t>
            </w:r>
          </w:p>
        </w:tc>
      </w:tr>
      <w:tr w:rsidR="00FB5FD9" w:rsidRPr="00596623" w14:paraId="725EFDFF" w14:textId="77777777" w:rsidTr="004733A8">
        <w:trPr>
          <w:jc w:val="center"/>
        </w:trPr>
        <w:tc>
          <w:tcPr>
            <w:tcW w:w="9072" w:type="dxa"/>
            <w:shd w:val="clear" w:color="auto" w:fill="auto"/>
          </w:tcPr>
          <w:p w14:paraId="3C6B1059" w14:textId="77777777" w:rsidR="00FB5FD9" w:rsidRPr="00596623" w:rsidRDefault="00FB5FD9" w:rsidP="00FB5FD9">
            <w:pPr>
              <w:ind w:left="2019" w:hanging="850"/>
              <w:jc w:val="both"/>
              <w:rPr>
                <w:rFonts w:ascii="MyriadPro-Regular" w:hAnsi="MyriadPro-Regular"/>
                <w:lang w:val="es-ES" w:eastAsia="es-ES"/>
              </w:rPr>
            </w:pPr>
            <w:r w:rsidRPr="00596623">
              <w:rPr>
                <w:rFonts w:ascii="MyriadPro-Regular" w:hAnsi="MyriadPro-Regular"/>
                <w:lang w:val="es-ES" w:eastAsia="es-ES"/>
              </w:rPr>
              <w:t>8.3.1.5 Desarrollar mecanismos para la protección de los derechos de niños, niñas y adolescentes.</w:t>
            </w:r>
          </w:p>
        </w:tc>
      </w:tr>
      <w:tr w:rsidR="00FB5FD9" w:rsidRPr="00596623" w14:paraId="44662CAB" w14:textId="77777777" w:rsidTr="004733A8">
        <w:trPr>
          <w:trHeight w:val="428"/>
          <w:jc w:val="center"/>
        </w:trPr>
        <w:tc>
          <w:tcPr>
            <w:tcW w:w="9072" w:type="dxa"/>
            <w:shd w:val="clear" w:color="auto" w:fill="991359"/>
          </w:tcPr>
          <w:p w14:paraId="41430D68"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Línea estratégica</w:t>
            </w:r>
          </w:p>
        </w:tc>
      </w:tr>
      <w:tr w:rsidR="00FB5FD9" w:rsidRPr="00596623" w14:paraId="22832AD0" w14:textId="77777777" w:rsidTr="004733A8">
        <w:trPr>
          <w:jc w:val="center"/>
        </w:trPr>
        <w:tc>
          <w:tcPr>
            <w:tcW w:w="9072" w:type="dxa"/>
            <w:shd w:val="clear" w:color="auto" w:fill="auto"/>
          </w:tcPr>
          <w:p w14:paraId="1ECC6674" w14:textId="77777777" w:rsidR="00FB5FD9" w:rsidRPr="00596623" w:rsidRDefault="00FB5FD9" w:rsidP="00FB5FD9">
            <w:pPr>
              <w:ind w:left="487"/>
              <w:rPr>
                <w:rFonts w:ascii="MyriadPro-Regular" w:hAnsi="MyriadPro-Regular"/>
                <w:lang w:val="es-ES" w:eastAsia="es-ES"/>
              </w:rPr>
            </w:pPr>
            <w:r w:rsidRPr="00596623">
              <w:rPr>
                <w:rFonts w:ascii="MyriadPro-Regular" w:hAnsi="MyriadPro-Regular"/>
                <w:lang w:val="es-ES" w:eastAsia="es-ES"/>
              </w:rPr>
              <w:t>8.3.2 Generar oportunidades de ingreso real.</w:t>
            </w:r>
          </w:p>
        </w:tc>
      </w:tr>
      <w:tr w:rsidR="00FB5FD9" w:rsidRPr="00596623" w14:paraId="4360DF6F" w14:textId="77777777" w:rsidTr="004733A8">
        <w:trPr>
          <w:jc w:val="center"/>
        </w:trPr>
        <w:tc>
          <w:tcPr>
            <w:tcW w:w="9072" w:type="dxa"/>
            <w:shd w:val="clear" w:color="auto" w:fill="991359"/>
          </w:tcPr>
          <w:p w14:paraId="1D0E29A8"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Acciones</w:t>
            </w:r>
          </w:p>
        </w:tc>
      </w:tr>
      <w:tr w:rsidR="00FB5FD9" w:rsidRPr="00596623" w14:paraId="1FC9B81E" w14:textId="77777777" w:rsidTr="004733A8">
        <w:trPr>
          <w:jc w:val="center"/>
        </w:trPr>
        <w:tc>
          <w:tcPr>
            <w:tcW w:w="9072" w:type="dxa"/>
            <w:shd w:val="clear" w:color="auto" w:fill="auto"/>
          </w:tcPr>
          <w:p w14:paraId="76687126"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8.3.2.1 Fomentar microcréditos para autoempleo de la población en situación de vulnerabilidad y la inclusión financiera solidaría.</w:t>
            </w:r>
          </w:p>
        </w:tc>
      </w:tr>
      <w:tr w:rsidR="00FB5FD9" w:rsidRPr="00596623" w14:paraId="2872D160" w14:textId="77777777" w:rsidTr="004733A8">
        <w:trPr>
          <w:jc w:val="center"/>
        </w:trPr>
        <w:tc>
          <w:tcPr>
            <w:tcW w:w="9072" w:type="dxa"/>
            <w:shd w:val="clear" w:color="auto" w:fill="auto"/>
          </w:tcPr>
          <w:p w14:paraId="18A90D60"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 xml:space="preserve">8.3.2.2 Desarrollar proyectos para impulsar el </w:t>
            </w:r>
            <w:proofErr w:type="spellStart"/>
            <w:r w:rsidRPr="00596623">
              <w:rPr>
                <w:rFonts w:ascii="MyriadPro-Regular" w:hAnsi="MyriadPro-Regular"/>
                <w:lang w:val="es-ES" w:eastAsia="es-ES"/>
              </w:rPr>
              <w:t>emprendedurismo</w:t>
            </w:r>
            <w:proofErr w:type="spellEnd"/>
            <w:r w:rsidRPr="00596623">
              <w:rPr>
                <w:rFonts w:ascii="MyriadPro-Regular" w:hAnsi="MyriadPro-Regular"/>
                <w:lang w:val="es-ES" w:eastAsia="es-ES"/>
              </w:rPr>
              <w:t xml:space="preserve"> de las mujeres y consolidar a las empresarias y emprendedoras con estímulos a la innovación y generación de trabajo y empleo digno.</w:t>
            </w:r>
          </w:p>
        </w:tc>
      </w:tr>
      <w:tr w:rsidR="00FB5FD9" w:rsidRPr="00596623" w14:paraId="72A1F795" w14:textId="77777777" w:rsidTr="004733A8">
        <w:trPr>
          <w:jc w:val="center"/>
        </w:trPr>
        <w:tc>
          <w:tcPr>
            <w:tcW w:w="9072" w:type="dxa"/>
            <w:shd w:val="clear" w:color="auto" w:fill="auto"/>
          </w:tcPr>
          <w:p w14:paraId="57D71DE0"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8.3.2.3 Tecnificar la producción agropecuaria indígena y de autoconsumo.</w:t>
            </w:r>
          </w:p>
        </w:tc>
      </w:tr>
      <w:tr w:rsidR="00FB5FD9" w:rsidRPr="00596623" w14:paraId="12B38437" w14:textId="77777777" w:rsidTr="004733A8">
        <w:trPr>
          <w:jc w:val="center"/>
        </w:trPr>
        <w:tc>
          <w:tcPr>
            <w:tcW w:w="9072" w:type="dxa"/>
            <w:shd w:val="clear" w:color="auto" w:fill="991359"/>
          </w:tcPr>
          <w:p w14:paraId="4AA40DD5"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Línea estratégica</w:t>
            </w:r>
          </w:p>
        </w:tc>
      </w:tr>
      <w:tr w:rsidR="00FB5FD9" w:rsidRPr="00596623" w14:paraId="42BB1619" w14:textId="77777777" w:rsidTr="004733A8">
        <w:trPr>
          <w:jc w:val="center"/>
        </w:trPr>
        <w:tc>
          <w:tcPr>
            <w:tcW w:w="9072" w:type="dxa"/>
            <w:shd w:val="clear" w:color="auto" w:fill="auto"/>
          </w:tcPr>
          <w:p w14:paraId="0BE3F1AC" w14:textId="77777777" w:rsidR="00FB5FD9" w:rsidRPr="00596623" w:rsidRDefault="00FB5FD9" w:rsidP="00FB5FD9">
            <w:pPr>
              <w:ind w:left="487"/>
              <w:rPr>
                <w:rFonts w:ascii="MyriadPro-Regular" w:hAnsi="MyriadPro-Regular"/>
                <w:lang w:val="es-ES" w:eastAsia="es-ES"/>
              </w:rPr>
            </w:pPr>
            <w:r w:rsidRPr="00596623">
              <w:rPr>
                <w:rFonts w:ascii="MyriadPro-Regular" w:hAnsi="MyriadPro-Regular"/>
                <w:lang w:val="es-ES" w:eastAsia="es-ES"/>
              </w:rPr>
              <w:t>8.3.3 Garantizar la protección social.</w:t>
            </w:r>
          </w:p>
        </w:tc>
      </w:tr>
      <w:tr w:rsidR="00FB5FD9" w:rsidRPr="00596623" w14:paraId="51EA2FEF" w14:textId="77777777" w:rsidTr="004733A8">
        <w:trPr>
          <w:jc w:val="center"/>
        </w:trPr>
        <w:tc>
          <w:tcPr>
            <w:tcW w:w="9072" w:type="dxa"/>
            <w:shd w:val="clear" w:color="auto" w:fill="991359"/>
          </w:tcPr>
          <w:p w14:paraId="1E4B82EB" w14:textId="77777777" w:rsidR="00FB5FD9" w:rsidRPr="00596623" w:rsidRDefault="00FB5FD9" w:rsidP="00FB5FD9">
            <w:pPr>
              <w:rPr>
                <w:rFonts w:ascii="MyriadPro-Regular" w:hAnsi="MyriadPro-Regular"/>
                <w:color w:val="FFFFFF" w:themeColor="background1"/>
                <w:lang w:val="es-ES" w:eastAsia="es-ES"/>
              </w:rPr>
            </w:pPr>
            <w:r w:rsidRPr="00596623" w:rsidDel="00F56137">
              <w:rPr>
                <w:rFonts w:ascii="MyriadPro-Regular" w:hAnsi="MyriadPro-Regular"/>
                <w:b/>
                <w:color w:val="FFFFFF" w:themeColor="background1"/>
                <w:lang w:val="es-ES" w:eastAsia="es-ES"/>
              </w:rPr>
              <w:t>Acciones</w:t>
            </w:r>
          </w:p>
        </w:tc>
      </w:tr>
      <w:tr w:rsidR="00FB5FD9" w:rsidRPr="00596623" w:rsidDel="00F56137" w14:paraId="7F7BE811" w14:textId="77777777" w:rsidTr="004733A8">
        <w:trPr>
          <w:jc w:val="center"/>
        </w:trPr>
        <w:tc>
          <w:tcPr>
            <w:tcW w:w="9072" w:type="dxa"/>
            <w:shd w:val="clear" w:color="auto" w:fill="auto"/>
          </w:tcPr>
          <w:p w14:paraId="203DD75E"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8.3.3.1 Impulsar la apertura de centros de desarrollo infantil y centros integrales geriátricos.</w:t>
            </w:r>
          </w:p>
        </w:tc>
      </w:tr>
      <w:tr w:rsidR="00FB5FD9" w:rsidRPr="00596623" w14:paraId="69EC3578" w14:textId="77777777" w:rsidTr="004733A8">
        <w:trPr>
          <w:jc w:val="center"/>
        </w:trPr>
        <w:tc>
          <w:tcPr>
            <w:tcW w:w="9072" w:type="dxa"/>
            <w:shd w:val="clear" w:color="auto" w:fill="auto"/>
          </w:tcPr>
          <w:p w14:paraId="4F82D9D9"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8.3.3.2 Desarrollar e instrumentar un programa interinstitucional para erradicar el</w:t>
            </w:r>
            <w:r w:rsidRPr="00596623" w:rsidDel="00F56137">
              <w:rPr>
                <w:rFonts w:ascii="MyriadPro-Regular" w:hAnsi="MyriadPro-Regular"/>
                <w:lang w:val="es-ES" w:eastAsia="es-ES"/>
              </w:rPr>
              <w:t xml:space="preserve"> trabajo infantil</w:t>
            </w:r>
            <w:r w:rsidRPr="00596623">
              <w:rPr>
                <w:rFonts w:ascii="MyriadPro-Regular" w:hAnsi="MyriadPro-Regular"/>
                <w:lang w:val="es-ES" w:eastAsia="es-ES"/>
              </w:rPr>
              <w:t>.</w:t>
            </w:r>
          </w:p>
        </w:tc>
      </w:tr>
      <w:tr w:rsidR="00FB5FD9" w:rsidRPr="00596623" w14:paraId="225D084C" w14:textId="77777777" w:rsidTr="004733A8">
        <w:trPr>
          <w:jc w:val="center"/>
        </w:trPr>
        <w:tc>
          <w:tcPr>
            <w:tcW w:w="9072" w:type="dxa"/>
            <w:shd w:val="clear" w:color="auto" w:fill="auto"/>
          </w:tcPr>
          <w:p w14:paraId="25CC1C0E"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8.3.3.3 Reforzar y crear nuevos refugios y albergues para mujeres víctimas de violencia, sus hijos e hijas.</w:t>
            </w:r>
          </w:p>
        </w:tc>
      </w:tr>
      <w:tr w:rsidR="00FB5FD9" w:rsidRPr="00596623" w14:paraId="2D88E2FA" w14:textId="77777777" w:rsidTr="004733A8">
        <w:trPr>
          <w:jc w:val="center"/>
        </w:trPr>
        <w:tc>
          <w:tcPr>
            <w:tcW w:w="9072" w:type="dxa"/>
            <w:shd w:val="clear" w:color="auto" w:fill="auto"/>
          </w:tcPr>
          <w:p w14:paraId="661422D3"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8.3.3.4 Fortalecer los programas de empoderamiento, capacitación para el empleo y su inserción laboral dirigido a mujeres víctimas de violencia.</w:t>
            </w:r>
          </w:p>
        </w:tc>
      </w:tr>
      <w:tr w:rsidR="00FB5FD9" w:rsidRPr="00596623" w14:paraId="602DD7BF" w14:textId="77777777" w:rsidTr="004733A8">
        <w:trPr>
          <w:jc w:val="center"/>
        </w:trPr>
        <w:tc>
          <w:tcPr>
            <w:tcW w:w="9072" w:type="dxa"/>
            <w:shd w:val="clear" w:color="auto" w:fill="auto"/>
          </w:tcPr>
          <w:p w14:paraId="777860FE"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 xml:space="preserve">8.3.3.5 Crear un programa de atención psicológica itinerante para grupos en situación de vulnerabilidad. </w:t>
            </w:r>
          </w:p>
        </w:tc>
      </w:tr>
      <w:tr w:rsidR="00FB5FD9" w:rsidRPr="00596623" w14:paraId="55CD68BC" w14:textId="77777777" w:rsidTr="004733A8">
        <w:trPr>
          <w:jc w:val="center"/>
        </w:trPr>
        <w:tc>
          <w:tcPr>
            <w:tcW w:w="9072" w:type="dxa"/>
            <w:shd w:val="clear" w:color="auto" w:fill="auto"/>
          </w:tcPr>
          <w:p w14:paraId="59BAB4BE" w14:textId="77777777" w:rsidR="00FB5FD9" w:rsidRPr="00596623" w:rsidRDefault="00FB5FD9" w:rsidP="00FB5FD9">
            <w:pPr>
              <w:ind w:left="2019" w:hanging="850"/>
              <w:jc w:val="both"/>
              <w:rPr>
                <w:rFonts w:ascii="MyriadPro-Regular" w:hAnsi="MyriadPro-Regular"/>
                <w:lang w:val="es-ES" w:eastAsia="es-ES"/>
              </w:rPr>
            </w:pPr>
            <w:r w:rsidRPr="00596623">
              <w:rPr>
                <w:rFonts w:ascii="MyriadPro-Regular" w:hAnsi="MyriadPro-Regular"/>
                <w:lang w:val="es-ES" w:eastAsia="es-ES"/>
              </w:rPr>
              <w:t>8.3.3.6 Impulsar un programa integral de protección social que garantice a las mujeres el cumplimiento de sus derechos.</w:t>
            </w:r>
          </w:p>
          <w:p w14:paraId="6AB4CE9D" w14:textId="77777777" w:rsidR="00FB5FD9" w:rsidRPr="00596623" w:rsidRDefault="00FB5FD9" w:rsidP="00FB5FD9">
            <w:pPr>
              <w:ind w:left="2019" w:hanging="850"/>
              <w:jc w:val="both"/>
              <w:rPr>
                <w:rFonts w:ascii="MyriadPro-Regular" w:hAnsi="MyriadPro-Regular"/>
                <w:lang w:val="es-ES" w:eastAsia="es-ES"/>
              </w:rPr>
            </w:pPr>
          </w:p>
          <w:p w14:paraId="356744F6" w14:textId="77777777" w:rsidR="00FB5FD9" w:rsidRPr="00596623" w:rsidRDefault="00FB5FD9" w:rsidP="00FB5FD9">
            <w:pPr>
              <w:ind w:left="2019" w:hanging="850"/>
              <w:jc w:val="both"/>
              <w:rPr>
                <w:rFonts w:ascii="MyriadPro-Regular" w:hAnsi="MyriadPro-Regular"/>
                <w:lang w:val="es-ES" w:eastAsia="es-ES"/>
              </w:rPr>
            </w:pPr>
          </w:p>
        </w:tc>
      </w:tr>
      <w:tr w:rsidR="00FB5FD9" w:rsidRPr="00596623" w14:paraId="2ABB3419" w14:textId="77777777" w:rsidTr="004733A8">
        <w:trPr>
          <w:jc w:val="center"/>
        </w:trPr>
        <w:tc>
          <w:tcPr>
            <w:tcW w:w="9072" w:type="dxa"/>
            <w:shd w:val="clear" w:color="auto" w:fill="991359"/>
          </w:tcPr>
          <w:p w14:paraId="4437C632" w14:textId="77777777" w:rsidR="00FB5FD9" w:rsidRPr="00596623" w:rsidRDefault="00FB5FD9" w:rsidP="00FB5FD9">
            <w:pPr>
              <w:rPr>
                <w:rFonts w:ascii="MyriadPro-Regular" w:hAnsi="MyriadPro-Regular"/>
                <w:color w:val="FFFFFF" w:themeColor="background1"/>
                <w:lang w:val="es-ES" w:eastAsia="es-ES"/>
              </w:rPr>
            </w:pPr>
            <w:r w:rsidRPr="00596623">
              <w:rPr>
                <w:rFonts w:ascii="MyriadPro-Regular" w:hAnsi="MyriadPro-Regular"/>
                <w:b/>
                <w:color w:val="FFFFFF" w:themeColor="background1"/>
                <w:lang w:val="es-ES" w:eastAsia="es-ES"/>
              </w:rPr>
              <w:t>Línea estratégica</w:t>
            </w:r>
          </w:p>
        </w:tc>
      </w:tr>
      <w:tr w:rsidR="00FB5FD9" w:rsidRPr="00596623" w14:paraId="718F64CA" w14:textId="77777777" w:rsidTr="004733A8">
        <w:trPr>
          <w:jc w:val="center"/>
        </w:trPr>
        <w:tc>
          <w:tcPr>
            <w:tcW w:w="9072" w:type="dxa"/>
            <w:shd w:val="clear" w:color="auto" w:fill="auto"/>
          </w:tcPr>
          <w:p w14:paraId="6ACA64F1" w14:textId="77777777" w:rsidR="00FB5FD9" w:rsidRPr="00596623" w:rsidRDefault="00FB5FD9" w:rsidP="00FB5FD9">
            <w:pPr>
              <w:ind w:left="487"/>
              <w:rPr>
                <w:rFonts w:ascii="MyriadPro-Regular" w:hAnsi="MyriadPro-Regular"/>
                <w:lang w:val="es-ES" w:eastAsia="es-ES"/>
              </w:rPr>
            </w:pPr>
            <w:r w:rsidRPr="00596623">
              <w:rPr>
                <w:rFonts w:ascii="MyriadPro-Regular" w:hAnsi="MyriadPro-Regular"/>
                <w:lang w:val="es-ES" w:eastAsia="es-ES"/>
              </w:rPr>
              <w:t>8.3.4 Fortalecer la autonomía económica y sostenibilidad de la mujer.</w:t>
            </w:r>
          </w:p>
        </w:tc>
      </w:tr>
      <w:tr w:rsidR="00FB5FD9" w:rsidRPr="00596623" w14:paraId="04DF8B25" w14:textId="77777777" w:rsidTr="004733A8">
        <w:trPr>
          <w:jc w:val="center"/>
        </w:trPr>
        <w:tc>
          <w:tcPr>
            <w:tcW w:w="9072" w:type="dxa"/>
            <w:shd w:val="clear" w:color="auto" w:fill="991359"/>
          </w:tcPr>
          <w:p w14:paraId="251A814F" w14:textId="77777777" w:rsidR="00FB5FD9" w:rsidRPr="00596623" w:rsidRDefault="00FB5FD9" w:rsidP="00FB5FD9">
            <w:pPr>
              <w:rPr>
                <w:rFonts w:ascii="MyriadPro-Regular" w:hAnsi="MyriadPro-Regular"/>
                <w:color w:val="FFFFFF" w:themeColor="background1"/>
                <w:lang w:val="es-ES" w:eastAsia="es-ES"/>
              </w:rPr>
            </w:pPr>
            <w:r w:rsidRPr="00596623" w:rsidDel="00F56137">
              <w:rPr>
                <w:rFonts w:ascii="MyriadPro-Regular" w:hAnsi="MyriadPro-Regular"/>
                <w:b/>
                <w:color w:val="FFFFFF" w:themeColor="background1"/>
                <w:lang w:val="es-ES" w:eastAsia="es-ES"/>
              </w:rPr>
              <w:t>Acciones</w:t>
            </w:r>
          </w:p>
        </w:tc>
      </w:tr>
      <w:tr w:rsidR="00FB5FD9" w:rsidRPr="00596623" w14:paraId="380253BA" w14:textId="77777777" w:rsidTr="004733A8">
        <w:trPr>
          <w:jc w:val="center"/>
        </w:trPr>
        <w:tc>
          <w:tcPr>
            <w:tcW w:w="9072" w:type="dxa"/>
            <w:shd w:val="clear" w:color="auto" w:fill="auto"/>
          </w:tcPr>
          <w:p w14:paraId="0EE9BCF2"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8.3.4.1 Reactivar y reorientar proyectos productivos con perspectiva de género para reducir las brechas en el mercado laboral y promover la igualdad real de acceso al empleo remunerado para hombres y mujeres.</w:t>
            </w:r>
          </w:p>
        </w:tc>
      </w:tr>
      <w:tr w:rsidR="00FB5FD9" w:rsidRPr="00596623" w14:paraId="1EEE768E" w14:textId="77777777" w:rsidTr="004733A8">
        <w:trPr>
          <w:jc w:val="center"/>
        </w:trPr>
        <w:tc>
          <w:tcPr>
            <w:tcW w:w="9072" w:type="dxa"/>
            <w:shd w:val="clear" w:color="auto" w:fill="auto"/>
          </w:tcPr>
          <w:p w14:paraId="4C52C8CE"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8.3.4.2 Promover programas especiales de apoyo a madres jefas de familia, para abatir la violencia y la división desigual del trabajo no remunerado, así como la discriminación en la toma de decisiones en el ámbito público.</w:t>
            </w:r>
          </w:p>
        </w:tc>
      </w:tr>
      <w:tr w:rsidR="00FB5FD9" w:rsidRPr="00596623" w14:paraId="66C1F5C7" w14:textId="77777777" w:rsidTr="004733A8">
        <w:trPr>
          <w:jc w:val="center"/>
        </w:trPr>
        <w:tc>
          <w:tcPr>
            <w:tcW w:w="9072" w:type="dxa"/>
            <w:shd w:val="clear" w:color="auto" w:fill="auto"/>
          </w:tcPr>
          <w:p w14:paraId="3D46F8C2"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8.3.4.3 Promover el autoempleo y micro financiamiento de bienes y servicios a mujeres y madres jefas de familia, para garantizar el ejercicio de sus derechos en condiciones de igualdad real.</w:t>
            </w:r>
          </w:p>
        </w:tc>
      </w:tr>
      <w:tr w:rsidR="00FB5FD9" w:rsidRPr="00596623" w14:paraId="7D6C7EAE" w14:textId="77777777" w:rsidTr="004733A8">
        <w:trPr>
          <w:jc w:val="center"/>
        </w:trPr>
        <w:tc>
          <w:tcPr>
            <w:tcW w:w="9072" w:type="dxa"/>
            <w:shd w:val="clear" w:color="auto" w:fill="auto"/>
          </w:tcPr>
          <w:p w14:paraId="39FEC230"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8.3.4.4 Promover el acceso a la vivienda digna y bienes domésticos para mujeres jefas de familia.</w:t>
            </w:r>
          </w:p>
        </w:tc>
      </w:tr>
      <w:tr w:rsidR="00FB5FD9" w:rsidRPr="00596623" w14:paraId="59333664" w14:textId="77777777" w:rsidTr="004733A8">
        <w:trPr>
          <w:jc w:val="center"/>
        </w:trPr>
        <w:tc>
          <w:tcPr>
            <w:tcW w:w="9072" w:type="dxa"/>
            <w:shd w:val="clear" w:color="auto" w:fill="auto"/>
          </w:tcPr>
          <w:p w14:paraId="4644D1D8" w14:textId="77777777" w:rsidR="00FB5FD9" w:rsidRPr="00596623" w:rsidRDefault="00FB5FD9" w:rsidP="00FB5FD9">
            <w:pPr>
              <w:ind w:left="2019" w:hanging="850"/>
              <w:contextualSpacing/>
              <w:jc w:val="both"/>
              <w:rPr>
                <w:rFonts w:ascii="MyriadPro-Regular" w:hAnsi="MyriadPro-Regular"/>
                <w:lang w:val="es-ES" w:eastAsia="es-ES"/>
              </w:rPr>
            </w:pPr>
            <w:r w:rsidRPr="00596623">
              <w:rPr>
                <w:rFonts w:ascii="MyriadPro-Regular" w:hAnsi="MyriadPro-Regular"/>
                <w:lang w:val="es-ES" w:eastAsia="es-ES"/>
              </w:rPr>
              <w:t>8.3.4.5  Impulso de programas que garanticen la paridad de género en todos los ámbitos públicos.</w:t>
            </w:r>
          </w:p>
        </w:tc>
      </w:tr>
    </w:tbl>
    <w:p w14:paraId="1CBA7BE3" w14:textId="77777777" w:rsidR="00FB5FD9" w:rsidRDefault="00FB5FD9" w:rsidP="00FB5FD9">
      <w:pPr>
        <w:pStyle w:val="NormalWeb"/>
        <w:shd w:val="clear" w:color="auto" w:fill="FFFFFF"/>
        <w:spacing w:before="0" w:beforeAutospacing="0" w:after="240" w:afterAutospacing="0" w:line="276" w:lineRule="auto"/>
        <w:jc w:val="both"/>
        <w:rPr>
          <w:rFonts w:ascii="GalanoGrotesque-Medium" w:hAnsi="GalanoGrotesque-Medium" w:cs="Arial"/>
        </w:rPr>
        <w:sectPr w:rsidR="00FB5FD9" w:rsidSect="00FB5FD9">
          <w:footnotePr>
            <w:numStart w:val="4"/>
          </w:footnotePr>
          <w:type w:val="continuous"/>
          <w:pgSz w:w="12240" w:h="15840"/>
          <w:pgMar w:top="1418" w:right="1134" w:bottom="1418" w:left="1134" w:header="709" w:footer="709" w:gutter="0"/>
          <w:cols w:space="567"/>
          <w:docGrid w:linePitch="360"/>
        </w:sectPr>
      </w:pPr>
    </w:p>
    <w:p w14:paraId="392F79F9" w14:textId="77777777" w:rsidR="00680FD0" w:rsidRPr="001E7327" w:rsidRDefault="00596623" w:rsidP="00596623">
      <w:pPr>
        <w:pStyle w:val="NormalWeb"/>
        <w:shd w:val="clear" w:color="auto" w:fill="FFFFFF"/>
        <w:spacing w:before="0" w:beforeAutospacing="0" w:after="240" w:afterAutospacing="0" w:line="276" w:lineRule="auto"/>
        <w:jc w:val="both"/>
        <w:rPr>
          <w:rFonts w:ascii="GalanoGrotesque-Medium" w:hAnsi="GalanoGrotesque-Medium" w:cs="Arial"/>
          <w:b/>
        </w:rPr>
      </w:pPr>
      <w:r>
        <w:rPr>
          <w:rFonts w:ascii="GalanoGrotesque-Medium" w:hAnsi="GalanoGrotesque-Medium" w:cs="Arial"/>
          <w:b/>
          <w:noProof/>
          <w:lang w:val="es-ES" w:eastAsia="es-ES"/>
        </w:rPr>
        <w:lastRenderedPageBreak/>
        <w:drawing>
          <wp:anchor distT="0" distB="0" distL="114300" distR="114300" simplePos="0" relativeHeight="251778560" behindDoc="1" locked="0" layoutInCell="1" allowOverlap="1" wp14:anchorId="20CE58FC" wp14:editId="2738794A">
            <wp:simplePos x="0" y="0"/>
            <wp:positionH relativeFrom="page">
              <wp:posOffset>19050</wp:posOffset>
            </wp:positionH>
            <wp:positionV relativeFrom="page">
              <wp:posOffset>9525</wp:posOffset>
            </wp:positionV>
            <wp:extent cx="7721512" cy="10040620"/>
            <wp:effectExtent l="0" t="0" r="0" b="0"/>
            <wp:wrapTight wrapText="bothSides">
              <wp:wrapPolygon edited="0">
                <wp:start x="0" y="0"/>
                <wp:lineTo x="0" y="21556"/>
                <wp:lineTo x="21531" y="21556"/>
                <wp:lineTo x="21531"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ma-.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721512" cy="10040620"/>
                    </a:xfrm>
                    <a:prstGeom prst="rect">
                      <a:avLst/>
                    </a:prstGeom>
                  </pic:spPr>
                </pic:pic>
              </a:graphicData>
            </a:graphic>
            <wp14:sizeRelH relativeFrom="margin">
              <wp14:pctWidth>0</wp14:pctWidth>
            </wp14:sizeRelH>
            <wp14:sizeRelV relativeFrom="margin">
              <wp14:pctHeight>0</wp14:pctHeight>
            </wp14:sizeRelV>
          </wp:anchor>
        </w:drawing>
      </w:r>
    </w:p>
    <w:p w14:paraId="66E119E2" w14:textId="7CC2829C" w:rsidR="00680FD0" w:rsidRPr="00F32CC0" w:rsidRDefault="00440D37" w:rsidP="00A74451">
      <w:pPr>
        <w:pStyle w:val="Ttulo1"/>
        <w:spacing w:before="0" w:after="200" w:line="280" w:lineRule="exact"/>
        <w:ind w:left="709"/>
        <w:rPr>
          <w:rFonts w:ascii="GalanoGrotesque-Bold" w:hAnsi="GalanoGrotesque-Bold" w:cs="GalanoGrotesque-Bold"/>
          <w:bCs w:val="0"/>
          <w:color w:val="414142"/>
          <w:sz w:val="28"/>
          <w:szCs w:val="28"/>
        </w:rPr>
      </w:pPr>
      <w:bookmarkStart w:id="23" w:name="_Toc458015645"/>
      <w:r w:rsidRPr="00F32CC0">
        <w:rPr>
          <w:rFonts w:ascii="GalanoGrotesque-Bold" w:hAnsi="GalanoGrotesque-Bold" w:cs="GalanoGrotesque-Bold"/>
          <w:bCs w:val="0"/>
          <w:noProof/>
          <w:color w:val="414142"/>
          <w:sz w:val="28"/>
          <w:szCs w:val="28"/>
        </w:rPr>
        <w:lastRenderedPageBreak/>
        <w:drawing>
          <wp:anchor distT="0" distB="0" distL="114300" distR="114300" simplePos="0" relativeHeight="251815424" behindDoc="0" locked="0" layoutInCell="1" allowOverlap="1" wp14:anchorId="3C91D922" wp14:editId="4243D19B">
            <wp:simplePos x="0" y="0"/>
            <wp:positionH relativeFrom="column">
              <wp:posOffset>-468791</wp:posOffset>
            </wp:positionH>
            <wp:positionV relativeFrom="paragraph">
              <wp:posOffset>-94603</wp:posOffset>
            </wp:positionV>
            <wp:extent cx="884511" cy="560717"/>
            <wp:effectExtent l="0" t="0" r="0" b="0"/>
            <wp:wrapNone/>
            <wp:docPr id="59414" name="Imagen 5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88565" cy="563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623" w:rsidRPr="00F32CC0">
        <w:rPr>
          <w:rFonts w:ascii="GalanoGrotesque-Bold" w:hAnsi="GalanoGrotesque-Bold" w:cs="GalanoGrotesque-Bold"/>
          <w:bCs w:val="0"/>
          <w:color w:val="414142"/>
          <w:sz w:val="28"/>
          <w:szCs w:val="28"/>
        </w:rPr>
        <w:t>Rendición de Cuentas,</w:t>
      </w:r>
      <w:r w:rsidR="00A74451" w:rsidRPr="00F32CC0">
        <w:rPr>
          <w:rFonts w:ascii="GalanoGrotesque-Bold" w:hAnsi="GalanoGrotesque-Bold" w:cs="GalanoGrotesque-Bold"/>
          <w:bCs w:val="0"/>
          <w:color w:val="414142"/>
          <w:sz w:val="28"/>
          <w:szCs w:val="28"/>
        </w:rPr>
        <w:t xml:space="preserve"> </w:t>
      </w:r>
      <w:r w:rsidR="00596623" w:rsidRPr="00F32CC0">
        <w:rPr>
          <w:rFonts w:ascii="GalanoGrotesque-Bold" w:hAnsi="GalanoGrotesque-Bold" w:cs="GalanoGrotesque-Bold"/>
          <w:bCs w:val="0"/>
          <w:color w:val="414142"/>
          <w:sz w:val="28"/>
          <w:szCs w:val="28"/>
        </w:rPr>
        <w:t>Transparencia y Gobierno</w:t>
      </w:r>
      <w:r w:rsidR="00A74451" w:rsidRPr="00F32CC0">
        <w:rPr>
          <w:rFonts w:ascii="GalanoGrotesque-Bold" w:hAnsi="GalanoGrotesque-Bold" w:cs="GalanoGrotesque-Bold"/>
          <w:bCs w:val="0"/>
          <w:color w:val="414142"/>
          <w:sz w:val="28"/>
          <w:szCs w:val="28"/>
        </w:rPr>
        <w:t xml:space="preserve"> </w:t>
      </w:r>
      <w:r w:rsidR="00596623" w:rsidRPr="00F32CC0">
        <w:rPr>
          <w:rFonts w:ascii="GalanoGrotesque-Bold" w:hAnsi="GalanoGrotesque-Bold" w:cs="GalanoGrotesque-Bold"/>
          <w:bCs w:val="0"/>
          <w:color w:val="414142"/>
          <w:sz w:val="28"/>
          <w:szCs w:val="28"/>
        </w:rPr>
        <w:t>Digital</w:t>
      </w:r>
      <w:bookmarkEnd w:id="23"/>
    </w:p>
    <w:p w14:paraId="0A620A40" w14:textId="77777777" w:rsidR="00680FD0" w:rsidRPr="00954EE2" w:rsidRDefault="00680FD0" w:rsidP="00691D90">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Un requerimiento cada vez mayor de la sociedad es la rendición de cuentas y la transparencia de sus gobiernos. Con ello se busca fortalecer la confianza de la ciudadanía, la eficacia, eficiencia y el logro de mejores resultados del ejercicio del gasto público.</w:t>
      </w:r>
    </w:p>
    <w:p w14:paraId="6E2FDD37" w14:textId="77777777" w:rsidR="00680FD0" w:rsidRPr="00954EE2" w:rsidRDefault="00680FD0" w:rsidP="00691D90">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La corrupción es un lastre que conlleva costos muy altos para la sociedad, por lo que su prevención y erradicación debe ser una de las principales prioridades inaplazables. La evaluación del desempeño y la vigilancia ciudadana de las acciones de gobierno son elementos indispensables para prevenir la corrupción y analizar el rumbo de las decisiones públicas.</w:t>
      </w:r>
    </w:p>
    <w:p w14:paraId="3D466803" w14:textId="77777777" w:rsidR="00680FD0" w:rsidRPr="00954EE2" w:rsidRDefault="00680FD0" w:rsidP="00691D90">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 xml:space="preserve">Por otra parte, las tecnologías de la información y comunicaciones son herramientas que permiten nuevas formas de gestión gubernamental, contribuyen a la eficiencia de los servicios públicos, favorecen la cooperación a distancia entre distintos actores y fortalecen la confianza y la seguridad entre sociedad y gobierno. Esta transformación del </w:t>
      </w:r>
      <w:r w:rsidRPr="00954EE2">
        <w:rPr>
          <w:rFonts w:ascii="MyriadPro-Regular" w:hAnsi="MyriadPro-Regular" w:cs="MyriadPro-Regular"/>
          <w:color w:val="414142"/>
          <w:sz w:val="20"/>
          <w:szCs w:val="20"/>
        </w:rPr>
        <w:lastRenderedPageBreak/>
        <w:t>gobierno y la modernización de su gestión, fortalecen la democracia participativa.</w:t>
      </w:r>
    </w:p>
    <w:p w14:paraId="51111D9F" w14:textId="77777777" w:rsidR="00680FD0" w:rsidRPr="00440D37" w:rsidRDefault="00680FD0" w:rsidP="00440D37">
      <w:pPr>
        <w:pStyle w:val="Prrafodelista"/>
        <w:numPr>
          <w:ilvl w:val="0"/>
          <w:numId w:val="28"/>
        </w:numPr>
        <w:spacing w:after="240"/>
        <w:ind w:left="426" w:hanging="426"/>
        <w:rPr>
          <w:rFonts w:ascii="GalanoGrotesque-Medium" w:hAnsi="GalanoGrotesque-Medium" w:cs="Arial"/>
          <w:b/>
        </w:rPr>
      </w:pPr>
      <w:r w:rsidRPr="00440D37">
        <w:rPr>
          <w:rFonts w:ascii="GalanoGrotesque-Medium" w:hAnsi="GalanoGrotesque-Medium" w:cs="Arial"/>
          <w:b/>
        </w:rPr>
        <w:t>Como nos encontramos</w:t>
      </w:r>
    </w:p>
    <w:p w14:paraId="18AA3122" w14:textId="77777777" w:rsidR="00680FD0" w:rsidRPr="00954EE2" w:rsidRDefault="00680FD0" w:rsidP="00691D90">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De acuerdo con el Barómetro Global de la Corrupción 2013 de Transparencia Internacional, el 88% de los mexicanos pensamos que la corrupción es un problema frecuente o muy frecuente, y la mitad de la población considera que la corrupción ha aumentado mucho en los últimos dos años. En Michoacán dicha percepción se eleva al 92.2% de la población.</w:t>
      </w:r>
    </w:p>
    <w:p w14:paraId="542BAD0F" w14:textId="77777777" w:rsidR="00680FD0" w:rsidRPr="00954EE2" w:rsidRDefault="00680FD0" w:rsidP="00691D90">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Según la Encuesta Nacional de Impacto y Calidad Gubernamental 2013, el 41.5% de los michoacanos opinaron estar Muy satisfecho o satisfecho con los servicios públicos básicos y bajo demanda, mientras que el promedio nacional fue de 49%.</w:t>
      </w:r>
    </w:p>
    <w:p w14:paraId="2A9AEBC5" w14:textId="77777777" w:rsidR="00680FD0" w:rsidRPr="00954EE2" w:rsidRDefault="00680FD0" w:rsidP="00691D90">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Según datos de la SHCP, en cuanto al grado de avance en la entidad a 2014, con respecto a la implementación del Presupuesto Basado en Resultados (PBR) y el Sistema de Evaluación del Desempeño (SED) y cada uno de sus componentes, la entidad se ubica en el lugar vigésimo séptimo respecto a las demás, muy lejos de Guanajuato ubicado en primer lugar con un índice del 97.4.</w:t>
      </w:r>
    </w:p>
    <w:p w14:paraId="1453BDCF" w14:textId="77777777" w:rsidR="00680FD0" w:rsidRDefault="00680FD0" w:rsidP="00680FD0">
      <w:pPr>
        <w:tabs>
          <w:tab w:val="left" w:pos="1521"/>
        </w:tabs>
        <w:spacing w:after="240"/>
        <w:jc w:val="both"/>
        <w:rPr>
          <w:rFonts w:ascii="GalanoGrotesque-Medium" w:eastAsia="Times New Roman" w:hAnsi="GalanoGrotesque-Medium" w:cs="Arial"/>
          <w:sz w:val="24"/>
          <w:szCs w:val="24"/>
          <w:lang w:val="es-ES" w:eastAsia="es-ES"/>
        </w:rPr>
        <w:sectPr w:rsidR="00680FD0" w:rsidSect="00680FD0">
          <w:footnotePr>
            <w:numStart w:val="4"/>
          </w:footnotePr>
          <w:pgSz w:w="12240" w:h="15840"/>
          <w:pgMar w:top="1418" w:right="1134" w:bottom="1418" w:left="1134" w:header="709" w:footer="709" w:gutter="0"/>
          <w:cols w:num="2" w:space="567"/>
          <w:docGrid w:linePitch="360"/>
        </w:sectPr>
      </w:pPr>
    </w:p>
    <w:p w14:paraId="6BA56E7C" w14:textId="77777777" w:rsidR="00680FD0" w:rsidRPr="00440D37" w:rsidRDefault="00680FD0" w:rsidP="00596623">
      <w:pPr>
        <w:spacing w:after="0" w:line="240" w:lineRule="auto"/>
        <w:jc w:val="center"/>
        <w:rPr>
          <w:rFonts w:ascii="GalanoGrotesque-Medium" w:hAnsi="GalanoGrotesque-Medium" w:cs="Arial"/>
          <w:b/>
          <w:sz w:val="16"/>
          <w:szCs w:val="16"/>
        </w:rPr>
      </w:pPr>
      <w:r w:rsidRPr="00440D37">
        <w:rPr>
          <w:rFonts w:ascii="GalanoGrotesque-Medium" w:hAnsi="GalanoGrotesque-Medium" w:cs="Arial"/>
          <w:b/>
          <w:sz w:val="16"/>
          <w:szCs w:val="16"/>
        </w:rPr>
        <w:lastRenderedPageBreak/>
        <w:t>Tabla 9.1</w:t>
      </w:r>
    </w:p>
    <w:p w14:paraId="448C8568" w14:textId="77777777" w:rsidR="00691D90" w:rsidRPr="00440D37" w:rsidRDefault="00680FD0" w:rsidP="00691D90">
      <w:pPr>
        <w:spacing w:after="0" w:line="240" w:lineRule="auto"/>
        <w:jc w:val="center"/>
        <w:rPr>
          <w:rFonts w:ascii="GalanoGrotesque-Medium" w:hAnsi="GalanoGrotesque-Medium" w:cs="Arial"/>
          <w:b/>
          <w:sz w:val="16"/>
          <w:szCs w:val="16"/>
        </w:rPr>
      </w:pPr>
      <w:r w:rsidRPr="00440D37">
        <w:rPr>
          <w:rFonts w:ascii="GalanoGrotesque-Medium" w:hAnsi="GalanoGrotesque-Medium" w:cs="Arial"/>
          <w:b/>
          <w:sz w:val="16"/>
          <w:szCs w:val="16"/>
        </w:rPr>
        <w:t xml:space="preserve">Indicadores de transparencia y rendición de cuentas </w:t>
      </w:r>
    </w:p>
    <w:tbl>
      <w:tblPr>
        <w:tblW w:w="8329" w:type="dxa"/>
        <w:jc w:val="center"/>
        <w:tblLayout w:type="fixed"/>
        <w:tblCellMar>
          <w:left w:w="70" w:type="dxa"/>
          <w:right w:w="70" w:type="dxa"/>
        </w:tblCellMar>
        <w:tblLook w:val="04A0" w:firstRow="1" w:lastRow="0" w:firstColumn="1" w:lastColumn="0" w:noHBand="0" w:noVBand="1"/>
      </w:tblPr>
      <w:tblGrid>
        <w:gridCol w:w="2278"/>
        <w:gridCol w:w="913"/>
        <w:gridCol w:w="413"/>
        <w:gridCol w:w="721"/>
        <w:gridCol w:w="708"/>
        <w:gridCol w:w="683"/>
        <w:gridCol w:w="652"/>
        <w:gridCol w:w="686"/>
        <w:gridCol w:w="618"/>
        <w:gridCol w:w="657"/>
      </w:tblGrid>
      <w:tr w:rsidR="00D918D3" w:rsidRPr="00D918D3" w14:paraId="06AD72C9" w14:textId="77777777" w:rsidTr="00A7185D">
        <w:trPr>
          <w:trHeight w:val="525"/>
          <w:jc w:val="center"/>
        </w:trPr>
        <w:tc>
          <w:tcPr>
            <w:tcW w:w="2278" w:type="dxa"/>
            <w:tcBorders>
              <w:top w:val="single" w:sz="8" w:space="0" w:color="auto"/>
              <w:left w:val="single" w:sz="8" w:space="0" w:color="auto"/>
              <w:bottom w:val="nil"/>
              <w:right w:val="single" w:sz="8" w:space="0" w:color="auto"/>
            </w:tcBorders>
            <w:shd w:val="clear" w:color="000000" w:fill="808080"/>
            <w:noWrap/>
            <w:vAlign w:val="center"/>
            <w:hideMark/>
          </w:tcPr>
          <w:p w14:paraId="5DE6B215" w14:textId="77777777" w:rsidR="00D918D3" w:rsidRPr="00D918D3" w:rsidRDefault="00D918D3" w:rsidP="00D918D3">
            <w:pPr>
              <w:spacing w:after="0" w:line="240" w:lineRule="auto"/>
              <w:jc w:val="center"/>
              <w:rPr>
                <w:rFonts w:ascii="Myriad Pro" w:hAnsi="Myriad Pro"/>
                <w:b/>
                <w:bCs/>
                <w:color w:val="FFFFFF"/>
                <w:sz w:val="18"/>
                <w:szCs w:val="16"/>
                <w:lang w:eastAsia="es-MX"/>
              </w:rPr>
            </w:pPr>
            <w:r w:rsidRPr="00D918D3">
              <w:rPr>
                <w:rFonts w:ascii="Myriad Pro" w:hAnsi="Myriad Pro"/>
                <w:b/>
                <w:bCs/>
                <w:color w:val="FFFFFF"/>
                <w:sz w:val="18"/>
                <w:szCs w:val="16"/>
                <w:lang w:eastAsia="es-MX"/>
              </w:rPr>
              <w:t>Indicador</w:t>
            </w:r>
          </w:p>
        </w:tc>
        <w:tc>
          <w:tcPr>
            <w:tcW w:w="913" w:type="dxa"/>
            <w:tcBorders>
              <w:top w:val="single" w:sz="8" w:space="0" w:color="auto"/>
              <w:left w:val="nil"/>
              <w:bottom w:val="nil"/>
              <w:right w:val="single" w:sz="8" w:space="0" w:color="auto"/>
            </w:tcBorders>
            <w:shd w:val="clear" w:color="000000" w:fill="808080"/>
            <w:noWrap/>
            <w:vAlign w:val="center"/>
            <w:hideMark/>
          </w:tcPr>
          <w:p w14:paraId="764ABE85" w14:textId="77777777" w:rsidR="00D918D3" w:rsidRPr="00D918D3" w:rsidRDefault="00D918D3" w:rsidP="00D918D3">
            <w:pPr>
              <w:spacing w:after="0" w:line="240" w:lineRule="auto"/>
              <w:jc w:val="center"/>
              <w:rPr>
                <w:rFonts w:ascii="Myriad Pro" w:hAnsi="Myriad Pro"/>
                <w:b/>
                <w:bCs/>
                <w:color w:val="FFFFFF"/>
                <w:sz w:val="18"/>
                <w:szCs w:val="16"/>
                <w:lang w:eastAsia="es-MX"/>
              </w:rPr>
            </w:pPr>
            <w:r w:rsidRPr="00D918D3">
              <w:rPr>
                <w:rFonts w:ascii="Myriad Pro" w:hAnsi="Myriad Pro"/>
                <w:b/>
                <w:bCs/>
                <w:color w:val="FFFFFF"/>
                <w:sz w:val="18"/>
                <w:szCs w:val="16"/>
                <w:lang w:eastAsia="es-MX"/>
              </w:rPr>
              <w:t>Fuente</w:t>
            </w:r>
          </w:p>
        </w:tc>
        <w:tc>
          <w:tcPr>
            <w:tcW w:w="413" w:type="dxa"/>
            <w:tcBorders>
              <w:top w:val="single" w:sz="8" w:space="0" w:color="auto"/>
              <w:left w:val="nil"/>
              <w:bottom w:val="nil"/>
              <w:right w:val="single" w:sz="8" w:space="0" w:color="auto"/>
            </w:tcBorders>
            <w:shd w:val="clear" w:color="000000" w:fill="808080"/>
            <w:noWrap/>
            <w:vAlign w:val="center"/>
            <w:hideMark/>
          </w:tcPr>
          <w:p w14:paraId="2C7BEDED" w14:textId="77777777" w:rsidR="00D918D3" w:rsidRPr="00D918D3" w:rsidRDefault="00D918D3" w:rsidP="00D918D3">
            <w:pPr>
              <w:spacing w:after="0" w:line="240" w:lineRule="auto"/>
              <w:jc w:val="center"/>
              <w:rPr>
                <w:rFonts w:ascii="Myriad Pro" w:hAnsi="Myriad Pro"/>
                <w:b/>
                <w:bCs/>
                <w:color w:val="FFFFFF"/>
                <w:sz w:val="18"/>
                <w:szCs w:val="16"/>
                <w:lang w:eastAsia="es-MX"/>
              </w:rPr>
            </w:pPr>
            <w:proofErr w:type="spellStart"/>
            <w:r w:rsidRPr="00D918D3">
              <w:rPr>
                <w:rFonts w:ascii="Myriad Pro" w:hAnsi="Myriad Pro"/>
                <w:b/>
                <w:bCs/>
                <w:color w:val="FFFFFF"/>
                <w:sz w:val="18"/>
                <w:szCs w:val="16"/>
                <w:lang w:eastAsia="es-MX"/>
              </w:rPr>
              <w:t>Rk</w:t>
            </w:r>
            <w:proofErr w:type="spellEnd"/>
          </w:p>
        </w:tc>
        <w:tc>
          <w:tcPr>
            <w:tcW w:w="721" w:type="dxa"/>
            <w:tcBorders>
              <w:top w:val="single" w:sz="8" w:space="0" w:color="auto"/>
              <w:left w:val="nil"/>
              <w:bottom w:val="nil"/>
              <w:right w:val="single" w:sz="8" w:space="0" w:color="auto"/>
            </w:tcBorders>
            <w:shd w:val="clear" w:color="000000" w:fill="808080"/>
            <w:vAlign w:val="center"/>
            <w:hideMark/>
          </w:tcPr>
          <w:p w14:paraId="29636F72" w14:textId="77777777" w:rsidR="00D918D3" w:rsidRPr="00D918D3" w:rsidRDefault="00D918D3" w:rsidP="00D918D3">
            <w:pPr>
              <w:spacing w:after="0" w:line="240" w:lineRule="auto"/>
              <w:jc w:val="center"/>
              <w:rPr>
                <w:rFonts w:ascii="Myriad Pro" w:hAnsi="Myriad Pro"/>
                <w:b/>
                <w:bCs/>
                <w:color w:val="FFFFFF"/>
                <w:sz w:val="18"/>
                <w:szCs w:val="16"/>
                <w:lang w:eastAsia="es-MX"/>
              </w:rPr>
            </w:pPr>
            <w:r w:rsidRPr="00D918D3">
              <w:rPr>
                <w:rFonts w:ascii="Myriad Pro" w:hAnsi="Myriad Pro"/>
                <w:b/>
                <w:bCs/>
                <w:color w:val="FFFFFF"/>
                <w:sz w:val="18"/>
                <w:szCs w:val="16"/>
                <w:lang w:eastAsia="es-MX"/>
              </w:rPr>
              <w:t xml:space="preserve">Media </w:t>
            </w:r>
            <w:proofErr w:type="spellStart"/>
            <w:r w:rsidRPr="00D918D3">
              <w:rPr>
                <w:rFonts w:ascii="Myriad Pro" w:hAnsi="Myriad Pro"/>
                <w:b/>
                <w:bCs/>
                <w:color w:val="FFFFFF"/>
                <w:sz w:val="18"/>
                <w:szCs w:val="16"/>
                <w:lang w:eastAsia="es-MX"/>
              </w:rPr>
              <w:t>Nac</w:t>
            </w:r>
            <w:proofErr w:type="spellEnd"/>
            <w:r w:rsidRPr="00D918D3">
              <w:rPr>
                <w:rFonts w:ascii="Myriad Pro" w:hAnsi="Myriad Pro"/>
                <w:b/>
                <w:bCs/>
                <w:color w:val="FFFFFF"/>
                <w:sz w:val="18"/>
                <w:szCs w:val="16"/>
                <w:lang w:eastAsia="es-MX"/>
              </w:rPr>
              <w:t>.</w:t>
            </w:r>
          </w:p>
        </w:tc>
        <w:tc>
          <w:tcPr>
            <w:tcW w:w="708" w:type="dxa"/>
            <w:tcBorders>
              <w:top w:val="single" w:sz="8" w:space="0" w:color="auto"/>
              <w:left w:val="nil"/>
              <w:bottom w:val="nil"/>
              <w:right w:val="single" w:sz="8" w:space="0" w:color="auto"/>
            </w:tcBorders>
            <w:shd w:val="clear" w:color="000000" w:fill="808080"/>
            <w:vAlign w:val="center"/>
            <w:hideMark/>
          </w:tcPr>
          <w:p w14:paraId="66B733CA" w14:textId="77777777" w:rsidR="00D918D3" w:rsidRPr="00D918D3" w:rsidRDefault="00D918D3" w:rsidP="00D918D3">
            <w:pPr>
              <w:spacing w:after="0" w:line="240" w:lineRule="auto"/>
              <w:jc w:val="center"/>
              <w:rPr>
                <w:rFonts w:ascii="Myriad Pro" w:hAnsi="Myriad Pro"/>
                <w:b/>
                <w:bCs/>
                <w:color w:val="FFFFFF"/>
                <w:sz w:val="18"/>
                <w:szCs w:val="16"/>
                <w:lang w:eastAsia="es-MX"/>
              </w:rPr>
            </w:pPr>
            <w:r w:rsidRPr="00D918D3">
              <w:rPr>
                <w:rFonts w:ascii="Myriad Pro" w:hAnsi="Myriad Pro"/>
                <w:b/>
                <w:bCs/>
                <w:color w:val="FFFFFF"/>
                <w:sz w:val="18"/>
                <w:szCs w:val="16"/>
                <w:lang w:eastAsia="es-MX"/>
              </w:rPr>
              <w:t>Unidad</w:t>
            </w:r>
          </w:p>
        </w:tc>
        <w:tc>
          <w:tcPr>
            <w:tcW w:w="683" w:type="dxa"/>
            <w:tcBorders>
              <w:top w:val="single" w:sz="8" w:space="0" w:color="auto"/>
              <w:left w:val="nil"/>
              <w:bottom w:val="nil"/>
              <w:right w:val="single" w:sz="8" w:space="0" w:color="auto"/>
            </w:tcBorders>
            <w:shd w:val="clear" w:color="000000" w:fill="808080"/>
            <w:noWrap/>
            <w:vAlign w:val="center"/>
            <w:hideMark/>
          </w:tcPr>
          <w:p w14:paraId="1D4AC23F" w14:textId="77777777" w:rsidR="00D918D3" w:rsidRPr="00D918D3" w:rsidRDefault="00D918D3" w:rsidP="00D918D3">
            <w:pPr>
              <w:spacing w:after="0" w:line="240" w:lineRule="auto"/>
              <w:jc w:val="center"/>
              <w:rPr>
                <w:rFonts w:ascii="Myriad Pro" w:hAnsi="Myriad Pro"/>
                <w:b/>
                <w:bCs/>
                <w:color w:val="FFFFFF"/>
                <w:sz w:val="18"/>
                <w:szCs w:val="16"/>
                <w:lang w:eastAsia="es-MX"/>
              </w:rPr>
            </w:pPr>
            <w:r w:rsidRPr="00D918D3">
              <w:rPr>
                <w:rFonts w:ascii="Myriad Pro" w:hAnsi="Myriad Pro"/>
                <w:b/>
                <w:bCs/>
                <w:color w:val="FFFFFF"/>
                <w:sz w:val="18"/>
                <w:szCs w:val="16"/>
                <w:lang w:eastAsia="es-MX"/>
              </w:rPr>
              <w:t>2010</w:t>
            </w:r>
          </w:p>
        </w:tc>
        <w:tc>
          <w:tcPr>
            <w:tcW w:w="652" w:type="dxa"/>
            <w:tcBorders>
              <w:top w:val="single" w:sz="8" w:space="0" w:color="auto"/>
              <w:left w:val="nil"/>
              <w:bottom w:val="nil"/>
              <w:right w:val="single" w:sz="8" w:space="0" w:color="auto"/>
            </w:tcBorders>
            <w:shd w:val="clear" w:color="000000" w:fill="808080"/>
            <w:noWrap/>
            <w:vAlign w:val="center"/>
            <w:hideMark/>
          </w:tcPr>
          <w:p w14:paraId="580ABA03" w14:textId="77777777" w:rsidR="00D918D3" w:rsidRPr="00D918D3" w:rsidRDefault="00D918D3" w:rsidP="00D918D3">
            <w:pPr>
              <w:spacing w:after="0" w:line="240" w:lineRule="auto"/>
              <w:jc w:val="center"/>
              <w:rPr>
                <w:rFonts w:ascii="Myriad Pro" w:hAnsi="Myriad Pro"/>
                <w:b/>
                <w:bCs/>
                <w:color w:val="FFFFFF"/>
                <w:sz w:val="18"/>
                <w:szCs w:val="16"/>
                <w:lang w:eastAsia="es-MX"/>
              </w:rPr>
            </w:pPr>
            <w:r w:rsidRPr="00D918D3">
              <w:rPr>
                <w:rFonts w:ascii="Myriad Pro" w:hAnsi="Myriad Pro"/>
                <w:b/>
                <w:bCs/>
                <w:color w:val="FFFFFF"/>
                <w:sz w:val="18"/>
                <w:szCs w:val="16"/>
                <w:lang w:eastAsia="es-MX"/>
              </w:rPr>
              <w:t>2011</w:t>
            </w:r>
          </w:p>
        </w:tc>
        <w:tc>
          <w:tcPr>
            <w:tcW w:w="686" w:type="dxa"/>
            <w:tcBorders>
              <w:top w:val="single" w:sz="8" w:space="0" w:color="auto"/>
              <w:left w:val="nil"/>
              <w:bottom w:val="nil"/>
              <w:right w:val="single" w:sz="8" w:space="0" w:color="auto"/>
            </w:tcBorders>
            <w:shd w:val="clear" w:color="000000" w:fill="808080"/>
            <w:noWrap/>
            <w:vAlign w:val="center"/>
            <w:hideMark/>
          </w:tcPr>
          <w:p w14:paraId="2E8ED7BD" w14:textId="77777777" w:rsidR="00D918D3" w:rsidRPr="00D918D3" w:rsidRDefault="00D918D3" w:rsidP="00D918D3">
            <w:pPr>
              <w:spacing w:after="0" w:line="240" w:lineRule="auto"/>
              <w:jc w:val="center"/>
              <w:rPr>
                <w:rFonts w:ascii="Myriad Pro" w:hAnsi="Myriad Pro"/>
                <w:b/>
                <w:bCs/>
                <w:color w:val="FFFFFF"/>
                <w:sz w:val="18"/>
                <w:szCs w:val="16"/>
                <w:lang w:eastAsia="es-MX"/>
              </w:rPr>
            </w:pPr>
            <w:r w:rsidRPr="00D918D3">
              <w:rPr>
                <w:rFonts w:ascii="Myriad Pro" w:hAnsi="Myriad Pro"/>
                <w:b/>
                <w:bCs/>
                <w:color w:val="FFFFFF"/>
                <w:sz w:val="18"/>
                <w:szCs w:val="16"/>
                <w:lang w:eastAsia="es-MX"/>
              </w:rPr>
              <w:t>2012</w:t>
            </w:r>
          </w:p>
        </w:tc>
        <w:tc>
          <w:tcPr>
            <w:tcW w:w="618" w:type="dxa"/>
            <w:tcBorders>
              <w:top w:val="single" w:sz="8" w:space="0" w:color="auto"/>
              <w:left w:val="nil"/>
              <w:bottom w:val="nil"/>
              <w:right w:val="single" w:sz="8" w:space="0" w:color="auto"/>
            </w:tcBorders>
            <w:shd w:val="clear" w:color="000000" w:fill="808080"/>
            <w:noWrap/>
            <w:vAlign w:val="center"/>
            <w:hideMark/>
          </w:tcPr>
          <w:p w14:paraId="38F72E8C" w14:textId="77777777" w:rsidR="00D918D3" w:rsidRPr="00D918D3" w:rsidRDefault="00D918D3" w:rsidP="00D918D3">
            <w:pPr>
              <w:spacing w:after="0" w:line="240" w:lineRule="auto"/>
              <w:jc w:val="center"/>
              <w:rPr>
                <w:rFonts w:ascii="Myriad Pro" w:hAnsi="Myriad Pro"/>
                <w:b/>
                <w:bCs/>
                <w:color w:val="FFFFFF"/>
                <w:sz w:val="18"/>
                <w:szCs w:val="16"/>
                <w:lang w:eastAsia="es-MX"/>
              </w:rPr>
            </w:pPr>
            <w:r w:rsidRPr="00D918D3">
              <w:rPr>
                <w:rFonts w:ascii="Myriad Pro" w:hAnsi="Myriad Pro"/>
                <w:b/>
                <w:bCs/>
                <w:color w:val="FFFFFF"/>
                <w:sz w:val="18"/>
                <w:szCs w:val="16"/>
                <w:lang w:eastAsia="es-MX"/>
              </w:rPr>
              <w:t>2013</w:t>
            </w:r>
          </w:p>
        </w:tc>
        <w:tc>
          <w:tcPr>
            <w:tcW w:w="657" w:type="dxa"/>
            <w:tcBorders>
              <w:top w:val="single" w:sz="8" w:space="0" w:color="auto"/>
              <w:left w:val="nil"/>
              <w:bottom w:val="nil"/>
              <w:right w:val="single" w:sz="8" w:space="0" w:color="auto"/>
            </w:tcBorders>
            <w:shd w:val="clear" w:color="000000" w:fill="808080"/>
            <w:noWrap/>
            <w:vAlign w:val="center"/>
            <w:hideMark/>
          </w:tcPr>
          <w:p w14:paraId="7DC1963C" w14:textId="77777777" w:rsidR="00D918D3" w:rsidRPr="00D918D3" w:rsidRDefault="00D918D3" w:rsidP="00D918D3">
            <w:pPr>
              <w:spacing w:after="0" w:line="240" w:lineRule="auto"/>
              <w:jc w:val="center"/>
              <w:rPr>
                <w:rFonts w:ascii="Myriad Pro" w:hAnsi="Myriad Pro"/>
                <w:b/>
                <w:bCs/>
                <w:color w:val="FFFFFF"/>
                <w:sz w:val="18"/>
                <w:szCs w:val="16"/>
                <w:lang w:eastAsia="es-MX"/>
              </w:rPr>
            </w:pPr>
            <w:r w:rsidRPr="00D918D3">
              <w:rPr>
                <w:rFonts w:ascii="Myriad Pro" w:hAnsi="Myriad Pro"/>
                <w:b/>
                <w:bCs/>
                <w:color w:val="FFFFFF"/>
                <w:sz w:val="18"/>
                <w:szCs w:val="16"/>
                <w:lang w:eastAsia="es-MX"/>
              </w:rPr>
              <w:t>2014</w:t>
            </w:r>
          </w:p>
        </w:tc>
      </w:tr>
      <w:tr w:rsidR="00D918D3" w:rsidRPr="00D918D3" w14:paraId="25CE9C11" w14:textId="77777777" w:rsidTr="00A7185D">
        <w:trPr>
          <w:trHeight w:val="1035"/>
          <w:jc w:val="center"/>
        </w:trPr>
        <w:tc>
          <w:tcPr>
            <w:tcW w:w="2278" w:type="dxa"/>
            <w:tcBorders>
              <w:top w:val="single" w:sz="8" w:space="0" w:color="auto"/>
              <w:left w:val="single" w:sz="8" w:space="0" w:color="auto"/>
              <w:bottom w:val="single" w:sz="8" w:space="0" w:color="auto"/>
              <w:right w:val="single" w:sz="8" w:space="0" w:color="auto"/>
            </w:tcBorders>
            <w:shd w:val="clear" w:color="000000" w:fill="C9C9C9"/>
            <w:vAlign w:val="center"/>
            <w:hideMark/>
          </w:tcPr>
          <w:p w14:paraId="47194D94" w14:textId="77777777" w:rsidR="00D918D3" w:rsidRPr="00D918D3" w:rsidRDefault="00D918D3" w:rsidP="00D918D3">
            <w:pPr>
              <w:spacing w:after="0" w:line="240" w:lineRule="auto"/>
              <w:rPr>
                <w:rFonts w:ascii="Myriad Pro" w:hAnsi="Myriad Pro"/>
                <w:color w:val="000000"/>
                <w:sz w:val="18"/>
                <w:szCs w:val="16"/>
                <w:lang w:eastAsia="es-MX"/>
              </w:rPr>
            </w:pPr>
            <w:r w:rsidRPr="00D918D3">
              <w:rPr>
                <w:rFonts w:ascii="Myriad Pro" w:hAnsi="Myriad Pro"/>
                <w:color w:val="000000"/>
                <w:sz w:val="18"/>
                <w:szCs w:val="16"/>
                <w:lang w:eastAsia="es-MX"/>
              </w:rPr>
              <w:t>Índice de Transparencia y Disponibilidad de la Información Fiscal de las Entidades Federativas (ITDIF)</w:t>
            </w:r>
          </w:p>
        </w:tc>
        <w:tc>
          <w:tcPr>
            <w:tcW w:w="913" w:type="dxa"/>
            <w:tcBorders>
              <w:top w:val="single" w:sz="8" w:space="0" w:color="auto"/>
              <w:left w:val="nil"/>
              <w:bottom w:val="single" w:sz="8" w:space="0" w:color="auto"/>
              <w:right w:val="single" w:sz="8" w:space="0" w:color="auto"/>
            </w:tcBorders>
            <w:shd w:val="clear" w:color="000000" w:fill="C9C9C9"/>
            <w:vAlign w:val="center"/>
            <w:hideMark/>
          </w:tcPr>
          <w:p w14:paraId="30C20853" w14:textId="77777777" w:rsidR="00D918D3" w:rsidRPr="00D918D3" w:rsidRDefault="00D918D3" w:rsidP="00D918D3">
            <w:pPr>
              <w:spacing w:after="0" w:line="240" w:lineRule="auto"/>
              <w:jc w:val="center"/>
              <w:rPr>
                <w:rFonts w:ascii="Myriad Pro" w:hAnsi="Myriad Pro"/>
                <w:color w:val="000000"/>
                <w:sz w:val="18"/>
                <w:szCs w:val="16"/>
                <w:lang w:eastAsia="es-MX"/>
              </w:rPr>
            </w:pPr>
            <w:proofErr w:type="spellStart"/>
            <w:r w:rsidRPr="00D918D3">
              <w:rPr>
                <w:rFonts w:ascii="Myriad Pro" w:hAnsi="Myriad Pro"/>
                <w:color w:val="000000"/>
                <w:sz w:val="18"/>
                <w:szCs w:val="16"/>
                <w:lang w:eastAsia="es-MX"/>
              </w:rPr>
              <w:t>Aregional</w:t>
            </w:r>
            <w:proofErr w:type="spellEnd"/>
          </w:p>
        </w:tc>
        <w:tc>
          <w:tcPr>
            <w:tcW w:w="413" w:type="dxa"/>
            <w:tcBorders>
              <w:top w:val="single" w:sz="8" w:space="0" w:color="auto"/>
              <w:left w:val="nil"/>
              <w:bottom w:val="single" w:sz="8" w:space="0" w:color="auto"/>
              <w:right w:val="single" w:sz="8" w:space="0" w:color="auto"/>
            </w:tcBorders>
            <w:shd w:val="clear" w:color="000000" w:fill="C9C9C9"/>
            <w:noWrap/>
            <w:vAlign w:val="center"/>
            <w:hideMark/>
          </w:tcPr>
          <w:p w14:paraId="1EC61EAA"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25</w:t>
            </w:r>
          </w:p>
        </w:tc>
        <w:tc>
          <w:tcPr>
            <w:tcW w:w="721" w:type="dxa"/>
            <w:tcBorders>
              <w:top w:val="single" w:sz="8" w:space="0" w:color="auto"/>
              <w:left w:val="nil"/>
              <w:bottom w:val="single" w:sz="8" w:space="0" w:color="auto"/>
              <w:right w:val="single" w:sz="8" w:space="0" w:color="auto"/>
            </w:tcBorders>
            <w:shd w:val="clear" w:color="000000" w:fill="C9C9C9"/>
            <w:noWrap/>
            <w:vAlign w:val="center"/>
            <w:hideMark/>
          </w:tcPr>
          <w:p w14:paraId="31931050"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77. 80</w:t>
            </w:r>
          </w:p>
        </w:tc>
        <w:tc>
          <w:tcPr>
            <w:tcW w:w="708" w:type="dxa"/>
            <w:tcBorders>
              <w:top w:val="single" w:sz="8" w:space="0" w:color="auto"/>
              <w:left w:val="nil"/>
              <w:bottom w:val="single" w:sz="8" w:space="0" w:color="auto"/>
              <w:right w:val="single" w:sz="8" w:space="0" w:color="auto"/>
            </w:tcBorders>
            <w:shd w:val="clear" w:color="000000" w:fill="C9C9C9"/>
            <w:vAlign w:val="center"/>
            <w:hideMark/>
          </w:tcPr>
          <w:p w14:paraId="71E59B82"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Índice</w:t>
            </w:r>
          </w:p>
        </w:tc>
        <w:tc>
          <w:tcPr>
            <w:tcW w:w="683" w:type="dxa"/>
            <w:tcBorders>
              <w:top w:val="single" w:sz="8" w:space="0" w:color="auto"/>
              <w:left w:val="nil"/>
              <w:bottom w:val="single" w:sz="8" w:space="0" w:color="auto"/>
              <w:right w:val="single" w:sz="8" w:space="0" w:color="auto"/>
            </w:tcBorders>
            <w:shd w:val="clear" w:color="000000" w:fill="C9C9C9"/>
            <w:noWrap/>
            <w:vAlign w:val="center"/>
            <w:hideMark/>
          </w:tcPr>
          <w:p w14:paraId="108BD140"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81.90</w:t>
            </w:r>
          </w:p>
        </w:tc>
        <w:tc>
          <w:tcPr>
            <w:tcW w:w="652" w:type="dxa"/>
            <w:tcBorders>
              <w:top w:val="single" w:sz="8" w:space="0" w:color="auto"/>
              <w:left w:val="nil"/>
              <w:bottom w:val="single" w:sz="8" w:space="0" w:color="auto"/>
              <w:right w:val="single" w:sz="8" w:space="0" w:color="auto"/>
            </w:tcBorders>
            <w:shd w:val="clear" w:color="000000" w:fill="C9C9C9"/>
            <w:noWrap/>
            <w:vAlign w:val="center"/>
            <w:hideMark/>
          </w:tcPr>
          <w:p w14:paraId="5EE74403"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82.30</w:t>
            </w:r>
          </w:p>
        </w:tc>
        <w:tc>
          <w:tcPr>
            <w:tcW w:w="686" w:type="dxa"/>
            <w:tcBorders>
              <w:top w:val="single" w:sz="8" w:space="0" w:color="auto"/>
              <w:left w:val="nil"/>
              <w:bottom w:val="single" w:sz="8" w:space="0" w:color="auto"/>
              <w:right w:val="single" w:sz="8" w:space="0" w:color="auto"/>
            </w:tcBorders>
            <w:shd w:val="clear" w:color="000000" w:fill="C9C9C9"/>
            <w:noWrap/>
            <w:vAlign w:val="center"/>
            <w:hideMark/>
          </w:tcPr>
          <w:p w14:paraId="69291708"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61.60</w:t>
            </w:r>
          </w:p>
        </w:tc>
        <w:tc>
          <w:tcPr>
            <w:tcW w:w="618" w:type="dxa"/>
            <w:tcBorders>
              <w:top w:val="single" w:sz="8" w:space="0" w:color="auto"/>
              <w:left w:val="nil"/>
              <w:bottom w:val="single" w:sz="8" w:space="0" w:color="auto"/>
              <w:right w:val="single" w:sz="8" w:space="0" w:color="auto"/>
            </w:tcBorders>
            <w:shd w:val="clear" w:color="000000" w:fill="C9C9C9"/>
            <w:noWrap/>
            <w:vAlign w:val="center"/>
            <w:hideMark/>
          </w:tcPr>
          <w:p w14:paraId="686575FB"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81.50</w:t>
            </w:r>
          </w:p>
        </w:tc>
        <w:tc>
          <w:tcPr>
            <w:tcW w:w="657" w:type="dxa"/>
            <w:tcBorders>
              <w:top w:val="single" w:sz="8" w:space="0" w:color="auto"/>
              <w:left w:val="nil"/>
              <w:bottom w:val="single" w:sz="8" w:space="0" w:color="auto"/>
              <w:right w:val="single" w:sz="8" w:space="0" w:color="auto"/>
            </w:tcBorders>
            <w:shd w:val="clear" w:color="000000" w:fill="C9C9C9"/>
            <w:noWrap/>
            <w:vAlign w:val="center"/>
            <w:hideMark/>
          </w:tcPr>
          <w:p w14:paraId="176C037D"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72.90</w:t>
            </w:r>
          </w:p>
        </w:tc>
      </w:tr>
      <w:tr w:rsidR="00D918D3" w:rsidRPr="00D918D3" w14:paraId="4FB83B76" w14:textId="77777777" w:rsidTr="00A7185D">
        <w:trPr>
          <w:trHeight w:val="270"/>
          <w:jc w:val="center"/>
        </w:trPr>
        <w:tc>
          <w:tcPr>
            <w:tcW w:w="2278" w:type="dxa"/>
            <w:tcBorders>
              <w:top w:val="nil"/>
              <w:left w:val="single" w:sz="8" w:space="0" w:color="auto"/>
              <w:bottom w:val="single" w:sz="8" w:space="0" w:color="auto"/>
              <w:right w:val="single" w:sz="8" w:space="0" w:color="auto"/>
            </w:tcBorders>
            <w:shd w:val="clear" w:color="000000" w:fill="EDEDED"/>
            <w:vAlign w:val="center"/>
            <w:hideMark/>
          </w:tcPr>
          <w:p w14:paraId="024600DC" w14:textId="77777777" w:rsidR="00D918D3" w:rsidRPr="00D918D3" w:rsidRDefault="00D918D3" w:rsidP="00D918D3">
            <w:pPr>
              <w:spacing w:after="0" w:line="240" w:lineRule="auto"/>
              <w:rPr>
                <w:rFonts w:ascii="Myriad Pro" w:hAnsi="Myriad Pro"/>
                <w:color w:val="000000"/>
                <w:sz w:val="18"/>
                <w:szCs w:val="16"/>
                <w:lang w:eastAsia="es-MX"/>
              </w:rPr>
            </w:pPr>
            <w:r w:rsidRPr="00D918D3">
              <w:rPr>
                <w:rFonts w:ascii="Myriad Pro" w:hAnsi="Myriad Pro"/>
                <w:color w:val="000000"/>
                <w:sz w:val="18"/>
                <w:szCs w:val="16"/>
                <w:lang w:eastAsia="es-MX"/>
              </w:rPr>
              <w:t>Índice Métrica de la Transparencia</w:t>
            </w:r>
          </w:p>
        </w:tc>
        <w:tc>
          <w:tcPr>
            <w:tcW w:w="913" w:type="dxa"/>
            <w:tcBorders>
              <w:top w:val="nil"/>
              <w:left w:val="nil"/>
              <w:bottom w:val="single" w:sz="8" w:space="0" w:color="auto"/>
              <w:right w:val="single" w:sz="8" w:space="0" w:color="auto"/>
            </w:tcBorders>
            <w:shd w:val="clear" w:color="000000" w:fill="EDEDED"/>
            <w:vAlign w:val="center"/>
            <w:hideMark/>
          </w:tcPr>
          <w:p w14:paraId="529BB2BD"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CIDE/COMAIP</w:t>
            </w:r>
          </w:p>
        </w:tc>
        <w:tc>
          <w:tcPr>
            <w:tcW w:w="413" w:type="dxa"/>
            <w:tcBorders>
              <w:top w:val="nil"/>
              <w:left w:val="nil"/>
              <w:bottom w:val="single" w:sz="8" w:space="0" w:color="auto"/>
              <w:right w:val="single" w:sz="8" w:space="0" w:color="auto"/>
            </w:tcBorders>
            <w:shd w:val="clear" w:color="000000" w:fill="EDEDED"/>
            <w:noWrap/>
            <w:vAlign w:val="center"/>
            <w:hideMark/>
          </w:tcPr>
          <w:p w14:paraId="3A24ED0E"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31</w:t>
            </w:r>
          </w:p>
        </w:tc>
        <w:tc>
          <w:tcPr>
            <w:tcW w:w="721" w:type="dxa"/>
            <w:tcBorders>
              <w:top w:val="nil"/>
              <w:left w:val="nil"/>
              <w:bottom w:val="single" w:sz="8" w:space="0" w:color="auto"/>
              <w:right w:val="single" w:sz="8" w:space="0" w:color="auto"/>
            </w:tcBorders>
            <w:shd w:val="clear" w:color="000000" w:fill="EDEDED"/>
            <w:noWrap/>
            <w:vAlign w:val="center"/>
            <w:hideMark/>
          </w:tcPr>
          <w:p w14:paraId="35A70E40"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0.73</w:t>
            </w:r>
          </w:p>
        </w:tc>
        <w:tc>
          <w:tcPr>
            <w:tcW w:w="708" w:type="dxa"/>
            <w:tcBorders>
              <w:top w:val="nil"/>
              <w:left w:val="nil"/>
              <w:bottom w:val="single" w:sz="8" w:space="0" w:color="auto"/>
              <w:right w:val="single" w:sz="8" w:space="0" w:color="auto"/>
            </w:tcBorders>
            <w:shd w:val="clear" w:color="000000" w:fill="EDEDED"/>
            <w:vAlign w:val="center"/>
            <w:hideMark/>
          </w:tcPr>
          <w:p w14:paraId="64DA70C2"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Índice</w:t>
            </w:r>
          </w:p>
        </w:tc>
        <w:tc>
          <w:tcPr>
            <w:tcW w:w="683" w:type="dxa"/>
            <w:tcBorders>
              <w:top w:val="nil"/>
              <w:left w:val="nil"/>
              <w:bottom w:val="single" w:sz="8" w:space="0" w:color="auto"/>
              <w:right w:val="single" w:sz="8" w:space="0" w:color="auto"/>
            </w:tcBorders>
            <w:shd w:val="clear" w:color="000000" w:fill="EDEDED"/>
            <w:noWrap/>
            <w:vAlign w:val="center"/>
            <w:hideMark/>
          </w:tcPr>
          <w:p w14:paraId="2B24B591"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0.63</w:t>
            </w:r>
          </w:p>
        </w:tc>
        <w:tc>
          <w:tcPr>
            <w:tcW w:w="652" w:type="dxa"/>
            <w:tcBorders>
              <w:top w:val="nil"/>
              <w:left w:val="nil"/>
              <w:bottom w:val="single" w:sz="8" w:space="0" w:color="auto"/>
              <w:right w:val="single" w:sz="8" w:space="0" w:color="auto"/>
            </w:tcBorders>
            <w:shd w:val="clear" w:color="000000" w:fill="EDEDED"/>
            <w:noWrap/>
            <w:vAlign w:val="center"/>
            <w:hideMark/>
          </w:tcPr>
          <w:p w14:paraId="3A565584"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86" w:type="dxa"/>
            <w:tcBorders>
              <w:top w:val="nil"/>
              <w:left w:val="nil"/>
              <w:bottom w:val="single" w:sz="8" w:space="0" w:color="auto"/>
              <w:right w:val="single" w:sz="8" w:space="0" w:color="auto"/>
            </w:tcBorders>
            <w:shd w:val="clear" w:color="000000" w:fill="EDEDED"/>
            <w:noWrap/>
            <w:vAlign w:val="center"/>
            <w:hideMark/>
          </w:tcPr>
          <w:p w14:paraId="1D1B7AA1"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18" w:type="dxa"/>
            <w:tcBorders>
              <w:top w:val="nil"/>
              <w:left w:val="nil"/>
              <w:bottom w:val="single" w:sz="8" w:space="0" w:color="auto"/>
              <w:right w:val="single" w:sz="8" w:space="0" w:color="auto"/>
            </w:tcBorders>
            <w:shd w:val="clear" w:color="000000" w:fill="EDEDED"/>
            <w:noWrap/>
            <w:vAlign w:val="center"/>
            <w:hideMark/>
          </w:tcPr>
          <w:p w14:paraId="423C2584"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57" w:type="dxa"/>
            <w:tcBorders>
              <w:top w:val="nil"/>
              <w:left w:val="nil"/>
              <w:bottom w:val="single" w:sz="8" w:space="0" w:color="auto"/>
              <w:right w:val="single" w:sz="8" w:space="0" w:color="auto"/>
            </w:tcBorders>
            <w:shd w:val="clear" w:color="000000" w:fill="EDEDED"/>
            <w:noWrap/>
            <w:vAlign w:val="center"/>
            <w:hideMark/>
          </w:tcPr>
          <w:p w14:paraId="1878072E"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0.58</w:t>
            </w:r>
          </w:p>
        </w:tc>
      </w:tr>
      <w:tr w:rsidR="00D918D3" w:rsidRPr="00D918D3" w14:paraId="3B93CDF9" w14:textId="77777777" w:rsidTr="00A7185D">
        <w:trPr>
          <w:trHeight w:val="525"/>
          <w:jc w:val="center"/>
        </w:trPr>
        <w:tc>
          <w:tcPr>
            <w:tcW w:w="2278" w:type="dxa"/>
            <w:tcBorders>
              <w:top w:val="nil"/>
              <w:left w:val="single" w:sz="8" w:space="0" w:color="auto"/>
              <w:bottom w:val="single" w:sz="8" w:space="0" w:color="auto"/>
              <w:right w:val="single" w:sz="8" w:space="0" w:color="auto"/>
            </w:tcBorders>
            <w:shd w:val="clear" w:color="000000" w:fill="C9C9C9"/>
            <w:vAlign w:val="center"/>
            <w:hideMark/>
          </w:tcPr>
          <w:p w14:paraId="69CE1035" w14:textId="77777777" w:rsidR="00D918D3" w:rsidRPr="00D918D3" w:rsidRDefault="00D918D3" w:rsidP="00D918D3">
            <w:pPr>
              <w:spacing w:after="0" w:line="240" w:lineRule="auto"/>
              <w:rPr>
                <w:rFonts w:ascii="Myriad Pro" w:hAnsi="Myriad Pro"/>
                <w:color w:val="000000"/>
                <w:sz w:val="18"/>
                <w:szCs w:val="16"/>
                <w:lang w:eastAsia="es-MX"/>
              </w:rPr>
            </w:pPr>
            <w:r w:rsidRPr="00D918D3">
              <w:rPr>
                <w:rFonts w:ascii="Myriad Pro" w:hAnsi="Myriad Pro"/>
                <w:color w:val="000000"/>
                <w:sz w:val="18"/>
                <w:szCs w:val="16"/>
                <w:lang w:eastAsia="es-MX"/>
              </w:rPr>
              <w:t>Índice Nacional de Corrupción y Buen Gobierno</w:t>
            </w:r>
          </w:p>
        </w:tc>
        <w:tc>
          <w:tcPr>
            <w:tcW w:w="913" w:type="dxa"/>
            <w:tcBorders>
              <w:top w:val="nil"/>
              <w:left w:val="nil"/>
              <w:bottom w:val="single" w:sz="8" w:space="0" w:color="auto"/>
              <w:right w:val="single" w:sz="8" w:space="0" w:color="auto"/>
            </w:tcBorders>
            <w:shd w:val="clear" w:color="000000" w:fill="C9C9C9"/>
            <w:vAlign w:val="center"/>
            <w:hideMark/>
          </w:tcPr>
          <w:p w14:paraId="2150A223"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Transparencia Mexicana</w:t>
            </w:r>
          </w:p>
        </w:tc>
        <w:tc>
          <w:tcPr>
            <w:tcW w:w="413" w:type="dxa"/>
            <w:tcBorders>
              <w:top w:val="nil"/>
              <w:left w:val="nil"/>
              <w:bottom w:val="single" w:sz="8" w:space="0" w:color="auto"/>
              <w:right w:val="single" w:sz="8" w:space="0" w:color="auto"/>
            </w:tcBorders>
            <w:shd w:val="clear" w:color="000000" w:fill="C9C9C9"/>
            <w:noWrap/>
            <w:vAlign w:val="center"/>
            <w:hideMark/>
          </w:tcPr>
          <w:p w14:paraId="2D68ED3C"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12</w:t>
            </w:r>
          </w:p>
        </w:tc>
        <w:tc>
          <w:tcPr>
            <w:tcW w:w="721" w:type="dxa"/>
            <w:tcBorders>
              <w:top w:val="nil"/>
              <w:left w:val="nil"/>
              <w:bottom w:val="single" w:sz="8" w:space="0" w:color="auto"/>
              <w:right w:val="single" w:sz="8" w:space="0" w:color="auto"/>
            </w:tcBorders>
            <w:shd w:val="clear" w:color="000000" w:fill="C9C9C9"/>
            <w:noWrap/>
            <w:vAlign w:val="center"/>
            <w:hideMark/>
          </w:tcPr>
          <w:p w14:paraId="2D61EC71"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8.50</w:t>
            </w:r>
          </w:p>
        </w:tc>
        <w:tc>
          <w:tcPr>
            <w:tcW w:w="708" w:type="dxa"/>
            <w:tcBorders>
              <w:top w:val="nil"/>
              <w:left w:val="nil"/>
              <w:bottom w:val="single" w:sz="8" w:space="0" w:color="auto"/>
              <w:right w:val="single" w:sz="8" w:space="0" w:color="auto"/>
            </w:tcBorders>
            <w:shd w:val="clear" w:color="000000" w:fill="C9C9C9"/>
            <w:vAlign w:val="center"/>
            <w:hideMark/>
          </w:tcPr>
          <w:p w14:paraId="20B87622"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Índice</w:t>
            </w:r>
          </w:p>
        </w:tc>
        <w:tc>
          <w:tcPr>
            <w:tcW w:w="683" w:type="dxa"/>
            <w:tcBorders>
              <w:top w:val="nil"/>
              <w:left w:val="nil"/>
              <w:bottom w:val="single" w:sz="8" w:space="0" w:color="auto"/>
              <w:right w:val="single" w:sz="8" w:space="0" w:color="auto"/>
            </w:tcBorders>
            <w:shd w:val="clear" w:color="000000" w:fill="C9C9C9"/>
            <w:noWrap/>
            <w:vAlign w:val="center"/>
            <w:hideMark/>
          </w:tcPr>
          <w:p w14:paraId="5F98A9FA"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8.4</w:t>
            </w:r>
          </w:p>
        </w:tc>
        <w:tc>
          <w:tcPr>
            <w:tcW w:w="652" w:type="dxa"/>
            <w:tcBorders>
              <w:top w:val="nil"/>
              <w:left w:val="nil"/>
              <w:bottom w:val="single" w:sz="8" w:space="0" w:color="auto"/>
              <w:right w:val="single" w:sz="8" w:space="0" w:color="auto"/>
            </w:tcBorders>
            <w:shd w:val="clear" w:color="000000" w:fill="C9C9C9"/>
            <w:noWrap/>
            <w:vAlign w:val="center"/>
            <w:hideMark/>
          </w:tcPr>
          <w:p w14:paraId="7EBDBB6D"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86" w:type="dxa"/>
            <w:tcBorders>
              <w:top w:val="nil"/>
              <w:left w:val="nil"/>
              <w:bottom w:val="single" w:sz="8" w:space="0" w:color="auto"/>
              <w:right w:val="single" w:sz="8" w:space="0" w:color="auto"/>
            </w:tcBorders>
            <w:shd w:val="clear" w:color="000000" w:fill="C9C9C9"/>
            <w:noWrap/>
            <w:vAlign w:val="center"/>
            <w:hideMark/>
          </w:tcPr>
          <w:p w14:paraId="4FCC3C1C"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18" w:type="dxa"/>
            <w:tcBorders>
              <w:top w:val="nil"/>
              <w:left w:val="nil"/>
              <w:bottom w:val="single" w:sz="8" w:space="0" w:color="auto"/>
              <w:right w:val="single" w:sz="8" w:space="0" w:color="auto"/>
            </w:tcBorders>
            <w:shd w:val="clear" w:color="000000" w:fill="C9C9C9"/>
            <w:noWrap/>
            <w:vAlign w:val="center"/>
            <w:hideMark/>
          </w:tcPr>
          <w:p w14:paraId="692ACD38"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57" w:type="dxa"/>
            <w:tcBorders>
              <w:top w:val="nil"/>
              <w:left w:val="nil"/>
              <w:bottom w:val="single" w:sz="8" w:space="0" w:color="auto"/>
              <w:right w:val="single" w:sz="8" w:space="0" w:color="auto"/>
            </w:tcBorders>
            <w:shd w:val="clear" w:color="000000" w:fill="C9C9C9"/>
            <w:noWrap/>
            <w:vAlign w:val="center"/>
            <w:hideMark/>
          </w:tcPr>
          <w:p w14:paraId="2A0FCF63"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r>
      <w:tr w:rsidR="00D918D3" w:rsidRPr="00D918D3" w14:paraId="50105E7F" w14:textId="77777777" w:rsidTr="00A7185D">
        <w:trPr>
          <w:trHeight w:val="525"/>
          <w:jc w:val="center"/>
        </w:trPr>
        <w:tc>
          <w:tcPr>
            <w:tcW w:w="2278" w:type="dxa"/>
            <w:tcBorders>
              <w:top w:val="nil"/>
              <w:left w:val="single" w:sz="8" w:space="0" w:color="auto"/>
              <w:bottom w:val="single" w:sz="8" w:space="0" w:color="auto"/>
              <w:right w:val="single" w:sz="8" w:space="0" w:color="auto"/>
            </w:tcBorders>
            <w:shd w:val="clear" w:color="000000" w:fill="EDEDED"/>
            <w:vAlign w:val="center"/>
            <w:hideMark/>
          </w:tcPr>
          <w:p w14:paraId="3051AE76" w14:textId="77777777" w:rsidR="00D918D3" w:rsidRPr="00D918D3" w:rsidRDefault="00D918D3" w:rsidP="00D918D3">
            <w:pPr>
              <w:spacing w:after="0" w:line="240" w:lineRule="auto"/>
              <w:rPr>
                <w:rFonts w:ascii="Myriad Pro" w:hAnsi="Myriad Pro"/>
                <w:color w:val="000000"/>
                <w:sz w:val="18"/>
                <w:szCs w:val="16"/>
                <w:lang w:val="en-US" w:eastAsia="es-MX"/>
              </w:rPr>
            </w:pPr>
            <w:r w:rsidRPr="00D918D3">
              <w:rPr>
                <w:rFonts w:ascii="Myriad Pro" w:hAnsi="Myriad Pro"/>
                <w:color w:val="000000"/>
                <w:sz w:val="18"/>
                <w:szCs w:val="16"/>
                <w:lang w:val="en-US" w:eastAsia="es-MX"/>
              </w:rPr>
              <w:t xml:space="preserve">Ranking </w:t>
            </w:r>
            <w:proofErr w:type="spellStart"/>
            <w:r w:rsidRPr="00D918D3">
              <w:rPr>
                <w:rFonts w:ascii="Myriad Pro" w:hAnsi="Myriad Pro"/>
                <w:color w:val="000000"/>
                <w:sz w:val="18"/>
                <w:szCs w:val="16"/>
                <w:lang w:val="en-US" w:eastAsia="es-MX"/>
              </w:rPr>
              <w:t>HearColors</w:t>
            </w:r>
            <w:proofErr w:type="spellEnd"/>
            <w:r w:rsidRPr="00D918D3">
              <w:rPr>
                <w:rFonts w:ascii="Myriad Pro" w:hAnsi="Myriad Pro"/>
                <w:color w:val="000000"/>
                <w:sz w:val="18"/>
                <w:szCs w:val="16"/>
                <w:lang w:val="en-US" w:eastAsia="es-MX"/>
              </w:rPr>
              <w:t xml:space="preserve"> de </w:t>
            </w:r>
            <w:proofErr w:type="spellStart"/>
            <w:r w:rsidRPr="00D918D3">
              <w:rPr>
                <w:rFonts w:ascii="Myriad Pro" w:hAnsi="Myriad Pro"/>
                <w:color w:val="000000"/>
                <w:sz w:val="18"/>
                <w:szCs w:val="16"/>
                <w:lang w:val="en-US" w:eastAsia="es-MX"/>
              </w:rPr>
              <w:t>Accesibilidad</w:t>
            </w:r>
            <w:proofErr w:type="spellEnd"/>
            <w:r w:rsidRPr="00D918D3">
              <w:rPr>
                <w:rFonts w:ascii="Myriad Pro" w:hAnsi="Myriad Pro"/>
                <w:color w:val="000000"/>
                <w:sz w:val="18"/>
                <w:szCs w:val="16"/>
                <w:lang w:val="en-US" w:eastAsia="es-MX"/>
              </w:rPr>
              <w:t xml:space="preserve"> web</w:t>
            </w:r>
          </w:p>
        </w:tc>
        <w:tc>
          <w:tcPr>
            <w:tcW w:w="913" w:type="dxa"/>
            <w:tcBorders>
              <w:top w:val="nil"/>
              <w:left w:val="nil"/>
              <w:bottom w:val="single" w:sz="8" w:space="0" w:color="auto"/>
              <w:right w:val="single" w:sz="8" w:space="0" w:color="auto"/>
            </w:tcBorders>
            <w:shd w:val="clear" w:color="000000" w:fill="EDEDED"/>
            <w:vAlign w:val="center"/>
            <w:hideMark/>
          </w:tcPr>
          <w:p w14:paraId="489EB903" w14:textId="77777777" w:rsidR="00D918D3" w:rsidRPr="00D918D3" w:rsidRDefault="00D918D3" w:rsidP="00D918D3">
            <w:pPr>
              <w:spacing w:after="0" w:line="240" w:lineRule="auto"/>
              <w:jc w:val="center"/>
              <w:rPr>
                <w:rFonts w:ascii="Myriad Pro" w:hAnsi="Myriad Pro"/>
                <w:color w:val="000000"/>
                <w:sz w:val="18"/>
                <w:szCs w:val="16"/>
                <w:lang w:eastAsia="es-MX"/>
              </w:rPr>
            </w:pPr>
            <w:proofErr w:type="spellStart"/>
            <w:r w:rsidRPr="00D918D3">
              <w:rPr>
                <w:rFonts w:ascii="Myriad Pro" w:hAnsi="Myriad Pro"/>
                <w:color w:val="000000"/>
                <w:sz w:val="18"/>
                <w:szCs w:val="16"/>
                <w:lang w:eastAsia="es-MX"/>
              </w:rPr>
              <w:t>HearColors</w:t>
            </w:r>
            <w:proofErr w:type="spellEnd"/>
          </w:p>
        </w:tc>
        <w:tc>
          <w:tcPr>
            <w:tcW w:w="413" w:type="dxa"/>
            <w:tcBorders>
              <w:top w:val="nil"/>
              <w:left w:val="nil"/>
              <w:bottom w:val="single" w:sz="8" w:space="0" w:color="auto"/>
              <w:right w:val="single" w:sz="8" w:space="0" w:color="auto"/>
            </w:tcBorders>
            <w:shd w:val="clear" w:color="000000" w:fill="EDEDED"/>
            <w:noWrap/>
            <w:vAlign w:val="center"/>
            <w:hideMark/>
          </w:tcPr>
          <w:p w14:paraId="0C2C8142"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14</w:t>
            </w:r>
          </w:p>
        </w:tc>
        <w:tc>
          <w:tcPr>
            <w:tcW w:w="721" w:type="dxa"/>
            <w:tcBorders>
              <w:top w:val="nil"/>
              <w:left w:val="nil"/>
              <w:bottom w:val="single" w:sz="8" w:space="0" w:color="auto"/>
              <w:right w:val="single" w:sz="8" w:space="0" w:color="auto"/>
            </w:tcBorders>
            <w:shd w:val="clear" w:color="000000" w:fill="EDEDED"/>
            <w:noWrap/>
            <w:vAlign w:val="center"/>
            <w:hideMark/>
          </w:tcPr>
          <w:p w14:paraId="22677A4D"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49</w:t>
            </w:r>
          </w:p>
        </w:tc>
        <w:tc>
          <w:tcPr>
            <w:tcW w:w="708" w:type="dxa"/>
            <w:tcBorders>
              <w:top w:val="nil"/>
              <w:left w:val="nil"/>
              <w:bottom w:val="single" w:sz="8" w:space="0" w:color="auto"/>
              <w:right w:val="single" w:sz="8" w:space="0" w:color="auto"/>
            </w:tcBorders>
            <w:shd w:val="clear" w:color="000000" w:fill="EDEDED"/>
            <w:vAlign w:val="center"/>
            <w:hideMark/>
          </w:tcPr>
          <w:p w14:paraId="76CB8DB9"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Porcentaje</w:t>
            </w:r>
          </w:p>
        </w:tc>
        <w:tc>
          <w:tcPr>
            <w:tcW w:w="683" w:type="dxa"/>
            <w:tcBorders>
              <w:top w:val="nil"/>
              <w:left w:val="nil"/>
              <w:bottom w:val="single" w:sz="8" w:space="0" w:color="auto"/>
              <w:right w:val="single" w:sz="8" w:space="0" w:color="auto"/>
            </w:tcBorders>
            <w:shd w:val="clear" w:color="000000" w:fill="EDEDED"/>
            <w:noWrap/>
            <w:vAlign w:val="center"/>
            <w:hideMark/>
          </w:tcPr>
          <w:p w14:paraId="7A08E36C"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52" w:type="dxa"/>
            <w:tcBorders>
              <w:top w:val="nil"/>
              <w:left w:val="nil"/>
              <w:bottom w:val="single" w:sz="8" w:space="0" w:color="auto"/>
              <w:right w:val="single" w:sz="8" w:space="0" w:color="auto"/>
            </w:tcBorders>
            <w:shd w:val="clear" w:color="000000" w:fill="EDEDED"/>
            <w:noWrap/>
            <w:vAlign w:val="center"/>
            <w:hideMark/>
          </w:tcPr>
          <w:p w14:paraId="420991C2"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86" w:type="dxa"/>
            <w:tcBorders>
              <w:top w:val="nil"/>
              <w:left w:val="nil"/>
              <w:bottom w:val="single" w:sz="8" w:space="0" w:color="auto"/>
              <w:right w:val="single" w:sz="8" w:space="0" w:color="auto"/>
            </w:tcBorders>
            <w:shd w:val="clear" w:color="000000" w:fill="EDEDED"/>
            <w:noWrap/>
            <w:vAlign w:val="center"/>
            <w:hideMark/>
          </w:tcPr>
          <w:p w14:paraId="04298C22"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18" w:type="dxa"/>
            <w:tcBorders>
              <w:top w:val="nil"/>
              <w:left w:val="nil"/>
              <w:bottom w:val="single" w:sz="8" w:space="0" w:color="auto"/>
              <w:right w:val="single" w:sz="8" w:space="0" w:color="auto"/>
            </w:tcBorders>
            <w:shd w:val="clear" w:color="000000" w:fill="EDEDED"/>
            <w:noWrap/>
            <w:vAlign w:val="center"/>
            <w:hideMark/>
          </w:tcPr>
          <w:p w14:paraId="48F1A0DC"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57" w:type="dxa"/>
            <w:tcBorders>
              <w:top w:val="nil"/>
              <w:left w:val="nil"/>
              <w:bottom w:val="single" w:sz="8" w:space="0" w:color="auto"/>
              <w:right w:val="single" w:sz="8" w:space="0" w:color="auto"/>
            </w:tcBorders>
            <w:shd w:val="clear" w:color="000000" w:fill="EDEDED"/>
            <w:noWrap/>
            <w:vAlign w:val="center"/>
            <w:hideMark/>
          </w:tcPr>
          <w:p w14:paraId="78B4EDB6"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45</w:t>
            </w:r>
          </w:p>
        </w:tc>
      </w:tr>
      <w:tr w:rsidR="00D918D3" w:rsidRPr="00D918D3" w14:paraId="2CF97FF7" w14:textId="77777777" w:rsidTr="00A7185D">
        <w:trPr>
          <w:trHeight w:val="525"/>
          <w:jc w:val="center"/>
        </w:trPr>
        <w:tc>
          <w:tcPr>
            <w:tcW w:w="2278" w:type="dxa"/>
            <w:tcBorders>
              <w:top w:val="nil"/>
              <w:left w:val="single" w:sz="8" w:space="0" w:color="auto"/>
              <w:bottom w:val="single" w:sz="8" w:space="0" w:color="auto"/>
              <w:right w:val="single" w:sz="8" w:space="0" w:color="auto"/>
            </w:tcBorders>
            <w:shd w:val="clear" w:color="000000" w:fill="C9C9C9"/>
            <w:vAlign w:val="center"/>
            <w:hideMark/>
          </w:tcPr>
          <w:p w14:paraId="1F05FFE3" w14:textId="77777777" w:rsidR="00D918D3" w:rsidRPr="00D918D3" w:rsidRDefault="00D918D3" w:rsidP="00D918D3">
            <w:pPr>
              <w:spacing w:after="0" w:line="240" w:lineRule="auto"/>
              <w:rPr>
                <w:rFonts w:ascii="Myriad Pro" w:hAnsi="Myriad Pro"/>
                <w:color w:val="000000"/>
                <w:sz w:val="18"/>
                <w:szCs w:val="16"/>
                <w:lang w:eastAsia="es-MX"/>
              </w:rPr>
            </w:pPr>
            <w:r w:rsidRPr="00D918D3">
              <w:rPr>
                <w:rFonts w:ascii="Myriad Pro" w:hAnsi="Myriad Pro"/>
                <w:color w:val="000000"/>
                <w:sz w:val="18"/>
                <w:szCs w:val="16"/>
                <w:lang w:eastAsia="es-MX"/>
              </w:rPr>
              <w:t>Gobierno eficiente y eficaz (Subíndice Competitividad)</w:t>
            </w:r>
          </w:p>
        </w:tc>
        <w:tc>
          <w:tcPr>
            <w:tcW w:w="913" w:type="dxa"/>
            <w:tcBorders>
              <w:top w:val="nil"/>
              <w:left w:val="nil"/>
              <w:bottom w:val="single" w:sz="8" w:space="0" w:color="auto"/>
              <w:right w:val="single" w:sz="8" w:space="0" w:color="auto"/>
            </w:tcBorders>
            <w:shd w:val="clear" w:color="000000" w:fill="C9C9C9"/>
            <w:vAlign w:val="center"/>
            <w:hideMark/>
          </w:tcPr>
          <w:p w14:paraId="44366176"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IMCO</w:t>
            </w:r>
          </w:p>
        </w:tc>
        <w:tc>
          <w:tcPr>
            <w:tcW w:w="413" w:type="dxa"/>
            <w:tcBorders>
              <w:top w:val="nil"/>
              <w:left w:val="nil"/>
              <w:bottom w:val="single" w:sz="8" w:space="0" w:color="auto"/>
              <w:right w:val="single" w:sz="8" w:space="0" w:color="auto"/>
            </w:tcBorders>
            <w:shd w:val="clear" w:color="000000" w:fill="C9C9C9"/>
            <w:noWrap/>
            <w:vAlign w:val="center"/>
            <w:hideMark/>
          </w:tcPr>
          <w:p w14:paraId="7545B5F8"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21</w:t>
            </w:r>
          </w:p>
        </w:tc>
        <w:tc>
          <w:tcPr>
            <w:tcW w:w="721" w:type="dxa"/>
            <w:tcBorders>
              <w:top w:val="nil"/>
              <w:left w:val="nil"/>
              <w:bottom w:val="single" w:sz="8" w:space="0" w:color="auto"/>
              <w:right w:val="single" w:sz="8" w:space="0" w:color="auto"/>
            </w:tcBorders>
            <w:shd w:val="clear" w:color="000000" w:fill="C9C9C9"/>
            <w:noWrap/>
            <w:vAlign w:val="center"/>
            <w:hideMark/>
          </w:tcPr>
          <w:p w14:paraId="0E62DD96"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50.10</w:t>
            </w:r>
          </w:p>
        </w:tc>
        <w:tc>
          <w:tcPr>
            <w:tcW w:w="708" w:type="dxa"/>
            <w:tcBorders>
              <w:top w:val="nil"/>
              <w:left w:val="nil"/>
              <w:bottom w:val="single" w:sz="8" w:space="0" w:color="auto"/>
              <w:right w:val="single" w:sz="8" w:space="0" w:color="auto"/>
            </w:tcBorders>
            <w:shd w:val="clear" w:color="000000" w:fill="C9C9C9"/>
            <w:vAlign w:val="center"/>
            <w:hideMark/>
          </w:tcPr>
          <w:p w14:paraId="01DB8BF4"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Índice</w:t>
            </w:r>
          </w:p>
        </w:tc>
        <w:tc>
          <w:tcPr>
            <w:tcW w:w="683" w:type="dxa"/>
            <w:tcBorders>
              <w:top w:val="nil"/>
              <w:left w:val="nil"/>
              <w:bottom w:val="single" w:sz="8" w:space="0" w:color="auto"/>
              <w:right w:val="single" w:sz="8" w:space="0" w:color="auto"/>
            </w:tcBorders>
            <w:shd w:val="clear" w:color="000000" w:fill="C9C9C9"/>
            <w:noWrap/>
            <w:vAlign w:val="center"/>
            <w:hideMark/>
          </w:tcPr>
          <w:p w14:paraId="5E94B58E"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46.70</w:t>
            </w:r>
          </w:p>
        </w:tc>
        <w:tc>
          <w:tcPr>
            <w:tcW w:w="652" w:type="dxa"/>
            <w:tcBorders>
              <w:top w:val="nil"/>
              <w:left w:val="nil"/>
              <w:bottom w:val="single" w:sz="8" w:space="0" w:color="auto"/>
              <w:right w:val="single" w:sz="8" w:space="0" w:color="auto"/>
            </w:tcBorders>
            <w:shd w:val="clear" w:color="000000" w:fill="C9C9C9"/>
            <w:noWrap/>
            <w:vAlign w:val="center"/>
            <w:hideMark/>
          </w:tcPr>
          <w:p w14:paraId="0A05DEFC"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86" w:type="dxa"/>
            <w:tcBorders>
              <w:top w:val="nil"/>
              <w:left w:val="nil"/>
              <w:bottom w:val="single" w:sz="8" w:space="0" w:color="auto"/>
              <w:right w:val="single" w:sz="8" w:space="0" w:color="auto"/>
            </w:tcBorders>
            <w:shd w:val="clear" w:color="000000" w:fill="C9C9C9"/>
            <w:noWrap/>
            <w:vAlign w:val="center"/>
            <w:hideMark/>
          </w:tcPr>
          <w:p w14:paraId="1E481E39"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48.50</w:t>
            </w:r>
          </w:p>
        </w:tc>
        <w:tc>
          <w:tcPr>
            <w:tcW w:w="618" w:type="dxa"/>
            <w:tcBorders>
              <w:top w:val="nil"/>
              <w:left w:val="nil"/>
              <w:bottom w:val="single" w:sz="8" w:space="0" w:color="auto"/>
              <w:right w:val="single" w:sz="8" w:space="0" w:color="auto"/>
            </w:tcBorders>
            <w:shd w:val="clear" w:color="000000" w:fill="C9C9C9"/>
            <w:noWrap/>
            <w:vAlign w:val="center"/>
            <w:hideMark/>
          </w:tcPr>
          <w:p w14:paraId="4FBC3EC8"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57" w:type="dxa"/>
            <w:tcBorders>
              <w:top w:val="nil"/>
              <w:left w:val="nil"/>
              <w:bottom w:val="single" w:sz="8" w:space="0" w:color="auto"/>
              <w:right w:val="single" w:sz="8" w:space="0" w:color="auto"/>
            </w:tcBorders>
            <w:shd w:val="clear" w:color="000000" w:fill="C9C9C9"/>
            <w:noWrap/>
            <w:vAlign w:val="center"/>
            <w:hideMark/>
          </w:tcPr>
          <w:p w14:paraId="03C162D7"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r>
      <w:tr w:rsidR="00D918D3" w:rsidRPr="00D918D3" w14:paraId="278619B0" w14:textId="77777777" w:rsidTr="00A7185D">
        <w:trPr>
          <w:trHeight w:val="525"/>
          <w:jc w:val="center"/>
        </w:trPr>
        <w:tc>
          <w:tcPr>
            <w:tcW w:w="2278" w:type="dxa"/>
            <w:tcBorders>
              <w:top w:val="nil"/>
              <w:left w:val="single" w:sz="8" w:space="0" w:color="auto"/>
              <w:bottom w:val="single" w:sz="8" w:space="0" w:color="auto"/>
              <w:right w:val="single" w:sz="8" w:space="0" w:color="auto"/>
            </w:tcBorders>
            <w:shd w:val="clear" w:color="000000" w:fill="C9C9C9"/>
            <w:vAlign w:val="center"/>
            <w:hideMark/>
          </w:tcPr>
          <w:p w14:paraId="7AAEE07F" w14:textId="77777777" w:rsidR="00D918D3" w:rsidRPr="00D918D3" w:rsidRDefault="00D918D3" w:rsidP="00D918D3">
            <w:pPr>
              <w:spacing w:after="0" w:line="240" w:lineRule="auto"/>
              <w:rPr>
                <w:rFonts w:ascii="Myriad Pro" w:hAnsi="Myriad Pro"/>
                <w:color w:val="000000"/>
                <w:sz w:val="18"/>
                <w:szCs w:val="16"/>
                <w:lang w:eastAsia="es-MX"/>
              </w:rPr>
            </w:pPr>
            <w:r w:rsidRPr="00D918D3">
              <w:rPr>
                <w:rFonts w:ascii="Myriad Pro" w:hAnsi="Myriad Pro"/>
                <w:color w:val="000000"/>
                <w:sz w:val="18"/>
                <w:szCs w:val="16"/>
                <w:lang w:eastAsia="es-MX"/>
              </w:rPr>
              <w:t>Porcentaje de implementación de PBR-SED</w:t>
            </w:r>
          </w:p>
        </w:tc>
        <w:tc>
          <w:tcPr>
            <w:tcW w:w="913" w:type="dxa"/>
            <w:tcBorders>
              <w:top w:val="nil"/>
              <w:left w:val="nil"/>
              <w:bottom w:val="single" w:sz="8" w:space="0" w:color="auto"/>
              <w:right w:val="single" w:sz="8" w:space="0" w:color="auto"/>
            </w:tcBorders>
            <w:shd w:val="clear" w:color="000000" w:fill="C9C9C9"/>
            <w:vAlign w:val="center"/>
            <w:hideMark/>
          </w:tcPr>
          <w:p w14:paraId="21E76A11"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SHCP</w:t>
            </w:r>
          </w:p>
        </w:tc>
        <w:tc>
          <w:tcPr>
            <w:tcW w:w="413" w:type="dxa"/>
            <w:tcBorders>
              <w:top w:val="nil"/>
              <w:left w:val="nil"/>
              <w:bottom w:val="single" w:sz="8" w:space="0" w:color="auto"/>
              <w:right w:val="single" w:sz="8" w:space="0" w:color="auto"/>
            </w:tcBorders>
            <w:shd w:val="clear" w:color="000000" w:fill="C9C9C9"/>
            <w:noWrap/>
            <w:vAlign w:val="center"/>
            <w:hideMark/>
          </w:tcPr>
          <w:p w14:paraId="45DCC074"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27</w:t>
            </w:r>
          </w:p>
        </w:tc>
        <w:tc>
          <w:tcPr>
            <w:tcW w:w="721" w:type="dxa"/>
            <w:tcBorders>
              <w:top w:val="nil"/>
              <w:left w:val="nil"/>
              <w:bottom w:val="single" w:sz="8" w:space="0" w:color="auto"/>
              <w:right w:val="single" w:sz="8" w:space="0" w:color="auto"/>
            </w:tcBorders>
            <w:shd w:val="clear" w:color="000000" w:fill="C9C9C9"/>
            <w:noWrap/>
            <w:vAlign w:val="center"/>
            <w:hideMark/>
          </w:tcPr>
          <w:p w14:paraId="40CFF769"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66.80</w:t>
            </w:r>
          </w:p>
        </w:tc>
        <w:tc>
          <w:tcPr>
            <w:tcW w:w="708" w:type="dxa"/>
            <w:tcBorders>
              <w:top w:val="nil"/>
              <w:left w:val="nil"/>
              <w:bottom w:val="single" w:sz="8" w:space="0" w:color="auto"/>
              <w:right w:val="single" w:sz="8" w:space="0" w:color="auto"/>
            </w:tcBorders>
            <w:shd w:val="clear" w:color="000000" w:fill="C9C9C9"/>
            <w:vAlign w:val="center"/>
            <w:hideMark/>
          </w:tcPr>
          <w:p w14:paraId="055345C0"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Porcentaje</w:t>
            </w:r>
          </w:p>
        </w:tc>
        <w:tc>
          <w:tcPr>
            <w:tcW w:w="683" w:type="dxa"/>
            <w:tcBorders>
              <w:top w:val="nil"/>
              <w:left w:val="nil"/>
              <w:bottom w:val="single" w:sz="8" w:space="0" w:color="auto"/>
              <w:right w:val="single" w:sz="8" w:space="0" w:color="auto"/>
            </w:tcBorders>
            <w:shd w:val="clear" w:color="000000" w:fill="C9C9C9"/>
            <w:noWrap/>
            <w:vAlign w:val="center"/>
            <w:hideMark/>
          </w:tcPr>
          <w:p w14:paraId="66A7789E"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74.00</w:t>
            </w:r>
          </w:p>
        </w:tc>
        <w:tc>
          <w:tcPr>
            <w:tcW w:w="652" w:type="dxa"/>
            <w:tcBorders>
              <w:top w:val="nil"/>
              <w:left w:val="nil"/>
              <w:bottom w:val="single" w:sz="8" w:space="0" w:color="auto"/>
              <w:right w:val="single" w:sz="8" w:space="0" w:color="auto"/>
            </w:tcBorders>
            <w:shd w:val="clear" w:color="000000" w:fill="C9C9C9"/>
            <w:noWrap/>
            <w:vAlign w:val="center"/>
            <w:hideMark/>
          </w:tcPr>
          <w:p w14:paraId="41CB2322"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86" w:type="dxa"/>
            <w:tcBorders>
              <w:top w:val="nil"/>
              <w:left w:val="nil"/>
              <w:bottom w:val="single" w:sz="8" w:space="0" w:color="auto"/>
              <w:right w:val="single" w:sz="8" w:space="0" w:color="auto"/>
            </w:tcBorders>
            <w:shd w:val="clear" w:color="000000" w:fill="C9C9C9"/>
            <w:noWrap/>
            <w:vAlign w:val="center"/>
            <w:hideMark/>
          </w:tcPr>
          <w:p w14:paraId="290FB21C"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56.00</w:t>
            </w:r>
          </w:p>
        </w:tc>
        <w:tc>
          <w:tcPr>
            <w:tcW w:w="618" w:type="dxa"/>
            <w:tcBorders>
              <w:top w:val="nil"/>
              <w:left w:val="nil"/>
              <w:bottom w:val="single" w:sz="8" w:space="0" w:color="auto"/>
              <w:right w:val="single" w:sz="8" w:space="0" w:color="auto"/>
            </w:tcBorders>
            <w:shd w:val="clear" w:color="000000" w:fill="C9C9C9"/>
            <w:noWrap/>
            <w:vAlign w:val="center"/>
            <w:hideMark/>
          </w:tcPr>
          <w:p w14:paraId="5A309F15"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w:t>
            </w:r>
          </w:p>
        </w:tc>
        <w:tc>
          <w:tcPr>
            <w:tcW w:w="657" w:type="dxa"/>
            <w:tcBorders>
              <w:top w:val="nil"/>
              <w:left w:val="nil"/>
              <w:bottom w:val="single" w:sz="8" w:space="0" w:color="auto"/>
              <w:right w:val="single" w:sz="8" w:space="0" w:color="auto"/>
            </w:tcBorders>
            <w:shd w:val="clear" w:color="000000" w:fill="C9C9C9"/>
            <w:noWrap/>
            <w:vAlign w:val="center"/>
            <w:hideMark/>
          </w:tcPr>
          <w:p w14:paraId="1653CA57" w14:textId="77777777" w:rsidR="00D918D3" w:rsidRPr="00D918D3" w:rsidRDefault="00D918D3" w:rsidP="00D918D3">
            <w:pPr>
              <w:spacing w:after="0" w:line="240" w:lineRule="auto"/>
              <w:jc w:val="center"/>
              <w:rPr>
                <w:rFonts w:ascii="Myriad Pro" w:hAnsi="Myriad Pro"/>
                <w:color w:val="000000"/>
                <w:sz w:val="18"/>
                <w:szCs w:val="16"/>
                <w:lang w:eastAsia="es-MX"/>
              </w:rPr>
            </w:pPr>
            <w:r w:rsidRPr="00D918D3">
              <w:rPr>
                <w:rFonts w:ascii="Myriad Pro" w:hAnsi="Myriad Pro"/>
                <w:color w:val="000000"/>
                <w:sz w:val="18"/>
                <w:szCs w:val="16"/>
                <w:lang w:eastAsia="es-MX"/>
              </w:rPr>
              <w:t>62.50</w:t>
            </w:r>
          </w:p>
        </w:tc>
      </w:tr>
    </w:tbl>
    <w:p w14:paraId="5E94439C" w14:textId="77777777" w:rsidR="00596623" w:rsidRDefault="00596623" w:rsidP="00596623">
      <w:pPr>
        <w:spacing w:after="0" w:line="240" w:lineRule="auto"/>
        <w:jc w:val="center"/>
        <w:rPr>
          <w:rFonts w:ascii="GalanoGrotesque-Medium" w:hAnsi="GalanoGrotesque-Medium" w:cs="Arial"/>
          <w:b/>
        </w:rPr>
      </w:pPr>
    </w:p>
    <w:p w14:paraId="78F2AD3B" w14:textId="77777777" w:rsidR="00680FD0" w:rsidRDefault="00680FD0" w:rsidP="00680FD0">
      <w:pPr>
        <w:autoSpaceDE w:val="0"/>
        <w:autoSpaceDN w:val="0"/>
        <w:adjustRightInd w:val="0"/>
        <w:spacing w:after="240"/>
        <w:jc w:val="both"/>
        <w:rPr>
          <w:rFonts w:ascii="GalanoGrotesque-Medium" w:eastAsia="Times New Roman" w:hAnsi="GalanoGrotesque-Medium" w:cs="Arial"/>
          <w:sz w:val="24"/>
          <w:szCs w:val="24"/>
          <w:lang w:val="es-ES" w:eastAsia="es-ES"/>
        </w:rPr>
        <w:sectPr w:rsidR="00680FD0" w:rsidSect="00680FD0">
          <w:footnotePr>
            <w:numStart w:val="4"/>
          </w:footnotePr>
          <w:type w:val="continuous"/>
          <w:pgSz w:w="12240" w:h="15840"/>
          <w:pgMar w:top="1418" w:right="1134" w:bottom="1418" w:left="1134" w:header="709" w:footer="709" w:gutter="0"/>
          <w:cols w:space="567"/>
          <w:docGrid w:linePitch="360"/>
        </w:sectPr>
      </w:pPr>
    </w:p>
    <w:p w14:paraId="63388F46" w14:textId="334D473C" w:rsidR="00680FD0" w:rsidRPr="00954EE2" w:rsidRDefault="00680FD0" w:rsidP="00691D90">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lastRenderedPageBreak/>
        <w:t xml:space="preserve">En la Tabla 9.2 se presentan los resultados del Índice de Transparencia y Disponibilidad de Información </w:t>
      </w:r>
      <w:r w:rsidRPr="00954EE2">
        <w:rPr>
          <w:rFonts w:ascii="MyriadPro-Regular" w:hAnsi="MyriadPro-Regular" w:cs="MyriadPro-Regular"/>
          <w:color w:val="414142"/>
          <w:sz w:val="20"/>
          <w:szCs w:val="20"/>
        </w:rPr>
        <w:lastRenderedPageBreak/>
        <w:t xml:space="preserve">Fiscal en cada una de las entidades federativas. En el nivel más alto se agrupan a las entidades con un </w:t>
      </w:r>
      <w:r w:rsidRPr="00954EE2">
        <w:rPr>
          <w:rFonts w:ascii="MyriadPro-Regular" w:hAnsi="MyriadPro-Regular" w:cs="MyriadPro-Regular"/>
          <w:color w:val="414142"/>
          <w:sz w:val="20"/>
          <w:szCs w:val="20"/>
        </w:rPr>
        <w:lastRenderedPageBreak/>
        <w:t xml:space="preserve">puntaje igual o superior a 85.0 puntos del ITDIF 2015. Dichas entidades se caracterizan por mantener asequible prácticamente todos los documentos y estadísticas evaluadas y, además, porque la información presentada cuenta con un elevado nivel de desagregación y claridad. </w:t>
      </w:r>
    </w:p>
    <w:p w14:paraId="0BDD5630" w14:textId="77777777" w:rsidR="00680FD0" w:rsidRPr="00954EE2" w:rsidRDefault="00680FD0" w:rsidP="00691D90">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 xml:space="preserve">En el nivel medio están aquellas entidades con puntajes dentro de un rango entre 70.0 y 85.0 puntos. Algunos de los estados en esta agrupación mantuvieron una importante disponibilidad de la información solicitada, pero ésta fue presentada sin suficiente desagregación y/o claridad; es el caso de </w:t>
      </w:r>
      <w:r w:rsidRPr="00954EE2">
        <w:rPr>
          <w:rFonts w:ascii="MyriadPro-Regular" w:hAnsi="MyriadPro-Regular" w:cs="MyriadPro-Regular"/>
          <w:color w:val="414142"/>
          <w:sz w:val="20"/>
          <w:szCs w:val="20"/>
        </w:rPr>
        <w:lastRenderedPageBreak/>
        <w:t>Michoacán que se encuentra en el lugar décimo noveno; arriba del promedio el cual es de 81.21.</w:t>
      </w:r>
    </w:p>
    <w:p w14:paraId="4540162D" w14:textId="77777777" w:rsidR="00680FD0" w:rsidRPr="00954EE2" w:rsidRDefault="00680FD0" w:rsidP="00691D90">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Por otro lado, el nivel bajo está conformado por aquellas entidades con puntuación menor a 70.0 puntos, las cuales se definen como entidades con carencias de información disponible en línea y con una calidad entre media y baja, es decir, poco clara, sin series completas, sin desagregación, ni orden interno. En esta situación se ubican Guerrero, Morelos, Sonora y Tlaxcala.</w:t>
      </w:r>
    </w:p>
    <w:p w14:paraId="469F92AA" w14:textId="77777777" w:rsidR="00680FD0" w:rsidRDefault="00680FD0" w:rsidP="00680FD0">
      <w:pPr>
        <w:tabs>
          <w:tab w:val="left" w:pos="1521"/>
        </w:tabs>
        <w:spacing w:after="240"/>
        <w:jc w:val="both"/>
        <w:rPr>
          <w:rFonts w:ascii="GalanoGrotesque-Medium" w:eastAsia="Times New Roman" w:hAnsi="GalanoGrotesque-Medium" w:cs="Arial"/>
          <w:sz w:val="24"/>
          <w:szCs w:val="24"/>
          <w:lang w:val="es-ES" w:eastAsia="es-ES"/>
        </w:rPr>
      </w:pPr>
    </w:p>
    <w:p w14:paraId="72CA672F" w14:textId="77777777" w:rsidR="00680FD0" w:rsidRDefault="00680FD0" w:rsidP="00680FD0">
      <w:pPr>
        <w:tabs>
          <w:tab w:val="left" w:pos="1521"/>
        </w:tabs>
        <w:spacing w:after="240"/>
        <w:jc w:val="both"/>
        <w:rPr>
          <w:rFonts w:ascii="GalanoGrotesque-Medium" w:eastAsia="Times New Roman" w:hAnsi="GalanoGrotesque-Medium" w:cs="Arial"/>
          <w:sz w:val="24"/>
          <w:szCs w:val="24"/>
          <w:lang w:val="es-ES" w:eastAsia="es-ES"/>
        </w:rPr>
        <w:sectPr w:rsidR="00680FD0" w:rsidSect="00680FD0">
          <w:footnotePr>
            <w:numStart w:val="4"/>
          </w:footnotePr>
          <w:type w:val="continuous"/>
          <w:pgSz w:w="12240" w:h="15840"/>
          <w:pgMar w:top="1418" w:right="1134" w:bottom="1418" w:left="1134" w:header="709" w:footer="709" w:gutter="0"/>
          <w:cols w:num="2" w:space="567"/>
          <w:docGrid w:linePitch="360"/>
        </w:sectPr>
      </w:pPr>
    </w:p>
    <w:p w14:paraId="59E577B3" w14:textId="77777777" w:rsidR="00680FD0" w:rsidRPr="00D918D3" w:rsidRDefault="00680FD0" w:rsidP="00680FD0">
      <w:pPr>
        <w:spacing w:after="0" w:line="240" w:lineRule="auto"/>
        <w:jc w:val="center"/>
        <w:rPr>
          <w:rFonts w:ascii="GalanoGrotesque-Medium" w:eastAsia="Times New Roman" w:hAnsi="GalanoGrotesque-Medium" w:cs="Calibri"/>
          <w:b/>
          <w:bCs/>
          <w:sz w:val="16"/>
          <w:lang w:eastAsia="es-MX"/>
        </w:rPr>
      </w:pPr>
      <w:r w:rsidRPr="00D918D3">
        <w:rPr>
          <w:rFonts w:ascii="GalanoGrotesque-Medium" w:eastAsia="Times New Roman" w:hAnsi="GalanoGrotesque-Medium" w:cs="Arial"/>
          <w:b/>
          <w:sz w:val="16"/>
          <w:lang w:val="es-ES" w:eastAsia="es-ES"/>
        </w:rPr>
        <w:lastRenderedPageBreak/>
        <w:t>Tabla 9.2</w:t>
      </w:r>
    </w:p>
    <w:p w14:paraId="532DF128" w14:textId="77777777" w:rsidR="00680FD0" w:rsidRPr="00D918D3" w:rsidRDefault="00680FD0" w:rsidP="00680FD0">
      <w:pPr>
        <w:spacing w:after="0"/>
        <w:jc w:val="center"/>
        <w:rPr>
          <w:rFonts w:ascii="GalanoGrotesque-Medium" w:eastAsia="Times New Roman" w:hAnsi="GalanoGrotesque-Medium" w:cs="Arial"/>
          <w:sz w:val="16"/>
          <w:lang w:val="es-ES" w:eastAsia="es-ES"/>
        </w:rPr>
      </w:pPr>
      <w:r w:rsidRPr="00D918D3">
        <w:rPr>
          <w:rFonts w:ascii="GalanoGrotesque-Medium" w:eastAsia="Times New Roman" w:hAnsi="GalanoGrotesque-Medium" w:cs="Arial"/>
          <w:bCs/>
          <w:sz w:val="16"/>
          <w:lang w:eastAsia="es-MX"/>
        </w:rPr>
        <w:t xml:space="preserve">Índice de Transparencia y Disponibilidad de Información Fiscal </w:t>
      </w:r>
      <w:r w:rsidRPr="00D918D3">
        <w:rPr>
          <w:rFonts w:ascii="GalanoGrotesque-Medium" w:eastAsia="Times New Roman" w:hAnsi="GalanoGrotesque-Medium" w:cs="Arial"/>
          <w:sz w:val="16"/>
          <w:lang w:val="es-ES" w:eastAsia="es-ES"/>
        </w:rPr>
        <w:t>(ITDF)</w:t>
      </w:r>
    </w:p>
    <w:p w14:paraId="24897149" w14:textId="77777777" w:rsidR="00691D90" w:rsidRDefault="00691D90" w:rsidP="00680FD0">
      <w:pPr>
        <w:spacing w:after="0"/>
        <w:jc w:val="center"/>
        <w:rPr>
          <w:rFonts w:ascii="GalanoGrotesque-Medium" w:eastAsia="Times New Roman" w:hAnsi="GalanoGrotesque-Medium" w:cs="Arial"/>
          <w:lang w:val="es-ES" w:eastAsia="es-ES"/>
        </w:rPr>
      </w:pPr>
      <w:r>
        <w:rPr>
          <w:noProof/>
          <w:lang w:val="es-ES" w:eastAsia="es-ES"/>
        </w:rPr>
        <w:drawing>
          <wp:inline distT="0" distB="0" distL="0" distR="0" wp14:anchorId="3ECD027F" wp14:editId="59E59E26">
            <wp:extent cx="3525722" cy="4599940"/>
            <wp:effectExtent l="0" t="0" r="0" b="0"/>
            <wp:docPr id="430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528938" cy="4604136"/>
                    </a:xfrm>
                    <a:prstGeom prst="rect">
                      <a:avLst/>
                    </a:prstGeom>
                    <a:noFill/>
                    <a:extLst/>
                  </pic:spPr>
                </pic:pic>
              </a:graphicData>
            </a:graphic>
          </wp:inline>
        </w:drawing>
      </w:r>
    </w:p>
    <w:p w14:paraId="47CBCA9F" w14:textId="77777777" w:rsidR="00EE36E7" w:rsidRPr="00EE36E7" w:rsidRDefault="00EE36E7" w:rsidP="00935233">
      <w:pPr>
        <w:autoSpaceDE w:val="0"/>
        <w:autoSpaceDN w:val="0"/>
        <w:adjustRightInd w:val="0"/>
        <w:spacing w:after="0" w:line="240" w:lineRule="auto"/>
        <w:ind w:left="2127" w:right="361"/>
        <w:rPr>
          <w:rFonts w:ascii="MyriadPro-Regular" w:eastAsia="Times New Roman" w:hAnsi="MyriadPro-Regular" w:cs="Calibri"/>
          <w:b/>
          <w:bCs/>
          <w:color w:val="595959" w:themeColor="text1" w:themeTint="A6"/>
          <w:sz w:val="16"/>
          <w:szCs w:val="16"/>
          <w:lang w:eastAsia="es-MX"/>
        </w:rPr>
      </w:pPr>
      <w:r w:rsidRPr="00EE36E7">
        <w:rPr>
          <w:rFonts w:ascii="MyriadPro-Regular" w:eastAsia="Times New Roman" w:hAnsi="MyriadPro-Regular" w:cs="Calibri"/>
          <w:color w:val="595959" w:themeColor="text1" w:themeTint="A6"/>
          <w:sz w:val="16"/>
          <w:szCs w:val="16"/>
          <w:lang w:eastAsia="es-MX"/>
        </w:rPr>
        <w:t>Disponibilidad de la información al 23 de abril de cada año</w:t>
      </w:r>
    </w:p>
    <w:p w14:paraId="70290C14" w14:textId="77777777" w:rsidR="00EE36E7" w:rsidRPr="00EE36E7" w:rsidRDefault="00EE36E7" w:rsidP="00935233">
      <w:pPr>
        <w:autoSpaceDE w:val="0"/>
        <w:autoSpaceDN w:val="0"/>
        <w:adjustRightInd w:val="0"/>
        <w:spacing w:after="0" w:line="240" w:lineRule="auto"/>
        <w:ind w:left="2127" w:right="361"/>
        <w:rPr>
          <w:rFonts w:ascii="MyriadPro-Regular" w:eastAsia="Times New Roman" w:hAnsi="MyriadPro-Regular" w:cs="Times New Roman"/>
          <w:color w:val="595959" w:themeColor="text1" w:themeTint="A6"/>
          <w:sz w:val="16"/>
          <w:szCs w:val="16"/>
          <w:lang w:val="es-ES" w:eastAsia="es-ES"/>
        </w:rPr>
      </w:pPr>
      <w:r w:rsidRPr="00EE36E7">
        <w:rPr>
          <w:rFonts w:ascii="MyriadPro-Regular" w:eastAsia="Times New Roman" w:hAnsi="MyriadPro-Regular" w:cs="Calibri"/>
          <w:b/>
          <w:bCs/>
          <w:color w:val="595959" w:themeColor="text1" w:themeTint="A6"/>
          <w:sz w:val="16"/>
          <w:szCs w:val="16"/>
          <w:lang w:eastAsia="es-MX"/>
        </w:rPr>
        <w:t>NE</w:t>
      </w:r>
      <w:r w:rsidRPr="00EE36E7">
        <w:rPr>
          <w:rFonts w:ascii="MyriadPro-Regular" w:eastAsia="Times New Roman" w:hAnsi="MyriadPro-Regular" w:cs="Calibri"/>
          <w:color w:val="595959" w:themeColor="text1" w:themeTint="A6"/>
          <w:sz w:val="16"/>
          <w:szCs w:val="16"/>
          <w:lang w:eastAsia="es-MX"/>
        </w:rPr>
        <w:t>: No Evaluado</w:t>
      </w:r>
    </w:p>
    <w:p w14:paraId="71C13EB1" w14:textId="77777777" w:rsidR="00EE36E7" w:rsidRPr="00EE36E7" w:rsidRDefault="00082EBA" w:rsidP="00935233">
      <w:pPr>
        <w:autoSpaceDE w:val="0"/>
        <w:autoSpaceDN w:val="0"/>
        <w:adjustRightInd w:val="0"/>
        <w:spacing w:after="0" w:line="240" w:lineRule="auto"/>
        <w:ind w:left="2127" w:right="361"/>
        <w:rPr>
          <w:rFonts w:ascii="MyriadPro-Regular" w:eastAsia="Times New Roman" w:hAnsi="MyriadPro-Regular" w:cs="Calibri"/>
          <w:b/>
          <w:bCs/>
          <w:color w:val="595959" w:themeColor="text1" w:themeTint="A6"/>
          <w:sz w:val="16"/>
          <w:szCs w:val="16"/>
          <w:lang w:eastAsia="es-MX"/>
        </w:rPr>
      </w:pPr>
      <w:hyperlink r:id="rId78" w:history="1">
        <w:r w:rsidR="00EE36E7" w:rsidRPr="00EE36E7">
          <w:rPr>
            <w:rFonts w:ascii="MyriadPro-Regular" w:eastAsia="Times New Roman" w:hAnsi="MyriadPro-Regular" w:cs="Calibri"/>
            <w:color w:val="595959" w:themeColor="text1" w:themeTint="A6"/>
            <w:sz w:val="16"/>
            <w:szCs w:val="16"/>
            <w:lang w:eastAsia="es-MX"/>
          </w:rPr>
          <w:t>http://transparenciafiscal.edomex.gob.mx/sites/transparenciafiscal.edomex.gob.mx/files/files/pdf/Resumen_ITDIF_2015.pdf</w:t>
        </w:r>
      </w:hyperlink>
    </w:p>
    <w:p w14:paraId="1D8F0E01" w14:textId="77777777" w:rsidR="00EE36E7" w:rsidRPr="00EE36E7" w:rsidRDefault="00EE36E7" w:rsidP="00935233">
      <w:pPr>
        <w:autoSpaceDE w:val="0"/>
        <w:autoSpaceDN w:val="0"/>
        <w:adjustRightInd w:val="0"/>
        <w:spacing w:after="0" w:line="240" w:lineRule="auto"/>
        <w:ind w:left="2127" w:right="361"/>
        <w:rPr>
          <w:rFonts w:ascii="MyriadPro-Regular" w:eastAsia="Times New Roman" w:hAnsi="MyriadPro-Regular" w:cs="Times New Roman"/>
          <w:color w:val="595959" w:themeColor="text1" w:themeTint="A6"/>
          <w:sz w:val="16"/>
          <w:szCs w:val="16"/>
          <w:lang w:val="es-ES" w:eastAsia="es-ES"/>
        </w:rPr>
      </w:pPr>
      <w:r w:rsidRPr="00EE36E7">
        <w:rPr>
          <w:rFonts w:ascii="MyriadPro-Regular" w:eastAsia="Times New Roman" w:hAnsi="MyriadPro-Regular" w:cs="Calibri"/>
          <w:b/>
          <w:bCs/>
          <w:color w:val="595959" w:themeColor="text1" w:themeTint="A6"/>
          <w:sz w:val="16"/>
          <w:szCs w:val="16"/>
          <w:lang w:eastAsia="es-MX"/>
        </w:rPr>
        <w:t xml:space="preserve">Fuente: </w:t>
      </w:r>
      <w:proofErr w:type="spellStart"/>
      <w:r w:rsidRPr="00EE36E7">
        <w:rPr>
          <w:rFonts w:ascii="MyriadPro-Regular" w:eastAsia="Times New Roman" w:hAnsi="MyriadPro-Regular" w:cs="Calibri"/>
          <w:color w:val="595959" w:themeColor="text1" w:themeTint="A6"/>
          <w:sz w:val="16"/>
          <w:szCs w:val="16"/>
          <w:lang w:eastAsia="es-MX"/>
        </w:rPr>
        <w:t>Aregional</w:t>
      </w:r>
      <w:proofErr w:type="spellEnd"/>
      <w:r w:rsidRPr="00EE36E7">
        <w:rPr>
          <w:rFonts w:ascii="MyriadPro-Regular" w:eastAsia="Times New Roman" w:hAnsi="MyriadPro-Regular" w:cs="Calibri"/>
          <w:color w:val="595959" w:themeColor="text1" w:themeTint="A6"/>
          <w:sz w:val="16"/>
          <w:szCs w:val="16"/>
          <w:lang w:eastAsia="es-MX"/>
        </w:rPr>
        <w:t xml:space="preserve"> con base en el Índice de Transparencia de la Información Fiscal de las Entidades Federativas (ITDIF).</w:t>
      </w:r>
    </w:p>
    <w:p w14:paraId="14190007" w14:textId="77777777" w:rsidR="00680FD0" w:rsidRDefault="00680FD0" w:rsidP="00EE36E7">
      <w:pPr>
        <w:autoSpaceDE w:val="0"/>
        <w:autoSpaceDN w:val="0"/>
        <w:adjustRightInd w:val="0"/>
        <w:spacing w:after="0" w:line="240" w:lineRule="auto"/>
        <w:ind w:right="361"/>
        <w:jc w:val="both"/>
        <w:rPr>
          <w:rFonts w:ascii="GalanoGrotesque-Regular" w:eastAsia="Times New Roman" w:hAnsi="GalanoGrotesque-Regular" w:cs="Calibri"/>
          <w:color w:val="000000"/>
          <w:sz w:val="20"/>
          <w:szCs w:val="20"/>
          <w:lang w:eastAsia="es-MX"/>
        </w:rPr>
        <w:sectPr w:rsidR="00680FD0" w:rsidSect="00680FD0">
          <w:footnotePr>
            <w:numStart w:val="4"/>
          </w:footnotePr>
          <w:type w:val="continuous"/>
          <w:pgSz w:w="12240" w:h="15840"/>
          <w:pgMar w:top="1418" w:right="1134" w:bottom="1418" w:left="1134" w:header="709" w:footer="709" w:gutter="0"/>
          <w:cols w:space="567"/>
          <w:docGrid w:linePitch="360"/>
        </w:sectPr>
      </w:pPr>
    </w:p>
    <w:p w14:paraId="092A6159" w14:textId="77777777" w:rsidR="00F32CC0" w:rsidRDefault="00F32CC0" w:rsidP="00E6368D">
      <w:pPr>
        <w:spacing w:after="160" w:line="240" w:lineRule="auto"/>
        <w:jc w:val="both"/>
        <w:rPr>
          <w:rFonts w:ascii="MyriadPro-Regular" w:hAnsi="MyriadPro-Regular" w:cs="MyriadPro-Regular"/>
          <w:color w:val="414142"/>
          <w:sz w:val="20"/>
          <w:szCs w:val="20"/>
        </w:rPr>
      </w:pPr>
    </w:p>
    <w:p w14:paraId="39E54A08" w14:textId="77777777" w:rsidR="00F32CC0" w:rsidRDefault="00F32CC0" w:rsidP="00E6368D">
      <w:pPr>
        <w:spacing w:after="160" w:line="240" w:lineRule="auto"/>
        <w:jc w:val="both"/>
        <w:rPr>
          <w:rFonts w:ascii="MyriadPro-Regular" w:hAnsi="MyriadPro-Regular" w:cs="MyriadPro-Regular"/>
          <w:color w:val="414142"/>
          <w:sz w:val="20"/>
          <w:szCs w:val="20"/>
        </w:rPr>
      </w:pPr>
    </w:p>
    <w:p w14:paraId="1E22C0D8" w14:textId="77777777" w:rsidR="00680FD0" w:rsidRPr="00954EE2" w:rsidRDefault="00680FD0" w:rsidP="00E6368D">
      <w:pPr>
        <w:spacing w:after="16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lastRenderedPageBreak/>
        <w:t>La Métrica 2014 evalúa de manera integral a los sistemas de transparencia y de acceso a la información pública de las entidades federativas y de la federación.</w:t>
      </w:r>
    </w:p>
    <w:p w14:paraId="40A28E99" w14:textId="7564C1B2" w:rsidR="00680FD0" w:rsidRPr="00954EE2" w:rsidRDefault="00680FD0" w:rsidP="00E6368D">
      <w:pPr>
        <w:spacing w:after="16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 xml:space="preserve">La Métrica de la Transparencia tiene dos objetivos centrales. Primero, realizar un nuevo diagnóstico general del estado actual de la política de transparencia y del acceso a la información pública, y el segundo objetivo, aportar un nuevo acervo de información ampliado y actualizado facilitando el análisis empírico de todos y cada uno de los </w:t>
      </w:r>
      <w:r w:rsidRPr="00954EE2">
        <w:rPr>
          <w:rFonts w:ascii="MyriadPro-Regular" w:hAnsi="MyriadPro-Regular" w:cs="MyriadPro-Regular"/>
          <w:color w:val="414142"/>
          <w:sz w:val="20"/>
          <w:szCs w:val="20"/>
        </w:rPr>
        <w:lastRenderedPageBreak/>
        <w:t>regímenes de transparencia en México; contribuye a aumentar la eficiencia del sistema al identificar buenas prácticas y áreas de oportunidad para mejorar y perfeccionar la política de transparencia en los estados.</w:t>
      </w:r>
    </w:p>
    <w:p w14:paraId="374555EE" w14:textId="77777777" w:rsidR="00680FD0" w:rsidRPr="00954EE2" w:rsidRDefault="00680FD0" w:rsidP="00E6368D">
      <w:pPr>
        <w:spacing w:after="16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Esta métrica opera con 5 valores, donde Michoacán se encuentra por debajo del promedio nacional en todos, resultando el penúltimo lugar en esta materia.</w:t>
      </w:r>
    </w:p>
    <w:p w14:paraId="79FE56D6" w14:textId="77777777" w:rsidR="00680FD0" w:rsidRDefault="00680FD0" w:rsidP="00680FD0">
      <w:pPr>
        <w:tabs>
          <w:tab w:val="left" w:pos="1521"/>
        </w:tabs>
        <w:spacing w:after="240"/>
        <w:jc w:val="both"/>
        <w:rPr>
          <w:rFonts w:ascii="GalanoGrotesque-Medium" w:eastAsia="Times New Roman" w:hAnsi="GalanoGrotesque-Medium" w:cs="Arial"/>
          <w:sz w:val="24"/>
          <w:szCs w:val="21"/>
          <w:lang w:val="es-ES" w:eastAsia="es-ES"/>
        </w:rPr>
      </w:pPr>
    </w:p>
    <w:p w14:paraId="2D56459B" w14:textId="77777777" w:rsidR="00680FD0" w:rsidRDefault="00680FD0" w:rsidP="00680FD0">
      <w:pPr>
        <w:tabs>
          <w:tab w:val="left" w:pos="1521"/>
        </w:tabs>
        <w:spacing w:after="240"/>
        <w:jc w:val="both"/>
        <w:rPr>
          <w:rFonts w:ascii="GalanoGrotesque-Medium" w:eastAsia="Times New Roman" w:hAnsi="GalanoGrotesque-Medium" w:cs="Arial"/>
          <w:sz w:val="24"/>
          <w:szCs w:val="24"/>
          <w:lang w:val="es-ES" w:eastAsia="es-ES"/>
        </w:rPr>
        <w:sectPr w:rsidR="00680FD0" w:rsidSect="00680FD0">
          <w:footnotePr>
            <w:numStart w:val="4"/>
          </w:footnotePr>
          <w:type w:val="continuous"/>
          <w:pgSz w:w="12240" w:h="15840"/>
          <w:pgMar w:top="1418" w:right="1134" w:bottom="1418" w:left="1134" w:header="709" w:footer="709" w:gutter="0"/>
          <w:cols w:num="2" w:space="567"/>
          <w:docGrid w:linePitch="360"/>
        </w:sectPr>
      </w:pPr>
    </w:p>
    <w:p w14:paraId="61B91A82" w14:textId="77777777" w:rsidR="00680FD0" w:rsidRPr="00D918D3" w:rsidRDefault="00680FD0" w:rsidP="00EE36E7">
      <w:pPr>
        <w:framePr w:hSpace="141" w:wrap="around" w:vAnchor="text" w:hAnchor="margin" w:xAlign="center" w:y="43"/>
        <w:spacing w:after="0" w:line="240" w:lineRule="exact"/>
        <w:jc w:val="center"/>
        <w:rPr>
          <w:rFonts w:ascii="GalanoGrotesque-Medium" w:eastAsia="Times New Roman" w:hAnsi="GalanoGrotesque-Medium" w:cs="Arial"/>
          <w:b/>
          <w:sz w:val="16"/>
          <w:lang w:val="es-ES" w:eastAsia="es-MX"/>
        </w:rPr>
      </w:pPr>
      <w:r w:rsidRPr="00D918D3">
        <w:rPr>
          <w:rFonts w:ascii="GalanoGrotesque-Medium" w:eastAsia="Times New Roman" w:hAnsi="GalanoGrotesque-Medium" w:cs="Arial"/>
          <w:b/>
          <w:sz w:val="16"/>
          <w:lang w:val="es-ES" w:eastAsia="es-MX"/>
        </w:rPr>
        <w:t>Tabla 9.3</w:t>
      </w:r>
    </w:p>
    <w:p w14:paraId="153AC6D8" w14:textId="77777777" w:rsidR="00680FD0" w:rsidRPr="00D918D3" w:rsidRDefault="00680FD0" w:rsidP="00EE36E7">
      <w:pPr>
        <w:framePr w:hSpace="141" w:wrap="around" w:vAnchor="text" w:hAnchor="margin" w:xAlign="center" w:y="43"/>
        <w:tabs>
          <w:tab w:val="left" w:pos="6750"/>
        </w:tabs>
        <w:spacing w:after="0" w:line="240" w:lineRule="exact"/>
        <w:jc w:val="center"/>
        <w:rPr>
          <w:rFonts w:ascii="GalanoGrotesque-Medium" w:eastAsia="Times New Roman" w:hAnsi="GalanoGrotesque-Medium" w:cs="Trebuchet MS"/>
          <w:sz w:val="16"/>
          <w:lang w:val="es-ES" w:eastAsia="es-ES"/>
        </w:rPr>
      </w:pPr>
      <w:r w:rsidRPr="00D918D3">
        <w:rPr>
          <w:rFonts w:ascii="GalanoGrotesque-Medium" w:eastAsia="Times New Roman" w:hAnsi="GalanoGrotesque-Medium" w:cs="Arial"/>
          <w:sz w:val="16"/>
          <w:lang w:val="es-ES" w:eastAsia="es-MX"/>
        </w:rPr>
        <w:t>Índice Métrica de la Transparencia</w:t>
      </w:r>
    </w:p>
    <w:p w14:paraId="0AEB093D" w14:textId="77777777" w:rsidR="00680FD0" w:rsidRPr="00680FD0" w:rsidRDefault="00680FD0" w:rsidP="00680FD0">
      <w:pPr>
        <w:spacing w:after="0" w:line="240" w:lineRule="auto"/>
        <w:jc w:val="both"/>
        <w:rPr>
          <w:rFonts w:ascii="GalanoGrotesque-Medium" w:eastAsia="Times New Roman" w:hAnsi="GalanoGrotesque-Medium" w:cs="Trebuchet MS"/>
          <w:sz w:val="14"/>
          <w:szCs w:val="14"/>
          <w:lang w:val="es-ES" w:eastAsia="es-ES"/>
        </w:rPr>
      </w:pPr>
    </w:p>
    <w:p w14:paraId="75CE288C" w14:textId="77777777" w:rsidR="00680FD0" w:rsidRPr="00680FD0" w:rsidRDefault="00EE36E7" w:rsidP="00EE36E7">
      <w:pPr>
        <w:spacing w:after="0" w:line="240" w:lineRule="auto"/>
        <w:jc w:val="center"/>
        <w:rPr>
          <w:rFonts w:ascii="GalanoGrotesque-Medium" w:eastAsia="Times New Roman" w:hAnsi="GalanoGrotesque-Medium" w:cs="Trebuchet MS"/>
          <w:sz w:val="14"/>
          <w:szCs w:val="14"/>
          <w:lang w:val="es-ES" w:eastAsia="es-ES"/>
        </w:rPr>
      </w:pPr>
      <w:r>
        <w:rPr>
          <w:noProof/>
          <w:lang w:val="es-ES" w:eastAsia="es-ES"/>
        </w:rPr>
        <w:drawing>
          <wp:inline distT="0" distB="0" distL="0" distR="0" wp14:anchorId="58F0F3BE" wp14:editId="2A56027B">
            <wp:extent cx="5486400" cy="5147821"/>
            <wp:effectExtent l="0" t="0" r="0" b="0"/>
            <wp:docPr id="430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96589" cy="5157381"/>
                    </a:xfrm>
                    <a:prstGeom prst="rect">
                      <a:avLst/>
                    </a:prstGeom>
                    <a:noFill/>
                    <a:extLst/>
                  </pic:spPr>
                </pic:pic>
              </a:graphicData>
            </a:graphic>
          </wp:inline>
        </w:drawing>
      </w:r>
    </w:p>
    <w:p w14:paraId="00F67654" w14:textId="77777777" w:rsidR="00680FD0" w:rsidRPr="00680FD0" w:rsidRDefault="00680FD0" w:rsidP="00680FD0">
      <w:pPr>
        <w:spacing w:after="0" w:line="240" w:lineRule="auto"/>
        <w:jc w:val="both"/>
        <w:rPr>
          <w:rFonts w:ascii="GalanoGrotesque-Medium" w:eastAsia="Times New Roman" w:hAnsi="GalanoGrotesque-Medium" w:cs="Trebuchet MS"/>
          <w:sz w:val="14"/>
          <w:szCs w:val="14"/>
          <w:lang w:val="es-ES" w:eastAsia="es-ES"/>
        </w:rPr>
      </w:pPr>
    </w:p>
    <w:p w14:paraId="0A26248C" w14:textId="77777777" w:rsidR="00680FD0" w:rsidRPr="00EE36E7" w:rsidRDefault="00EE36E7" w:rsidP="00F32CC0">
      <w:pPr>
        <w:spacing w:after="0" w:line="240" w:lineRule="auto"/>
        <w:ind w:left="709" w:right="644"/>
        <w:jc w:val="center"/>
        <w:rPr>
          <w:rFonts w:ascii="MyriadPro-Regular" w:eastAsia="Times New Roman" w:hAnsi="MyriadPro-Regular" w:cs="Arial"/>
          <w:sz w:val="16"/>
          <w:szCs w:val="16"/>
          <w:lang w:val="es-ES" w:eastAsia="es-ES"/>
        </w:rPr>
        <w:sectPr w:rsidR="00680FD0" w:rsidRPr="00EE36E7" w:rsidSect="00680FD0">
          <w:footnotePr>
            <w:numStart w:val="4"/>
          </w:footnotePr>
          <w:type w:val="continuous"/>
          <w:pgSz w:w="12240" w:h="15840"/>
          <w:pgMar w:top="1418" w:right="1134" w:bottom="1418" w:left="1134" w:header="709" w:footer="709" w:gutter="0"/>
          <w:cols w:space="567"/>
          <w:docGrid w:linePitch="360"/>
        </w:sectPr>
      </w:pPr>
      <w:r w:rsidRPr="00EE36E7">
        <w:rPr>
          <w:rFonts w:ascii="MyriadPro-Regular" w:eastAsia="Times New Roman" w:hAnsi="MyriadPro-Regular" w:cs="Arial"/>
          <w:color w:val="000000"/>
          <w:sz w:val="16"/>
          <w:szCs w:val="16"/>
          <w:lang w:val="es-ES" w:eastAsia="es-MX"/>
        </w:rPr>
        <w:t>Fuente: Centro de Investigación y Docencia Económicas A.C</w:t>
      </w:r>
      <w:proofErr w:type="gramStart"/>
      <w:r w:rsidRPr="00EE36E7">
        <w:rPr>
          <w:rFonts w:ascii="MyriadPro-Regular" w:eastAsia="Times New Roman" w:hAnsi="MyriadPro-Regular" w:cs="Arial"/>
          <w:color w:val="000000"/>
          <w:sz w:val="16"/>
          <w:szCs w:val="16"/>
          <w:lang w:val="es-ES" w:eastAsia="es-MX"/>
        </w:rPr>
        <w:t>./</w:t>
      </w:r>
      <w:proofErr w:type="gramEnd"/>
      <w:r w:rsidRPr="00EE36E7">
        <w:rPr>
          <w:rFonts w:ascii="MyriadPro-Regular" w:eastAsia="Times New Roman" w:hAnsi="MyriadPro-Regular" w:cs="Arial"/>
          <w:color w:val="000000"/>
          <w:sz w:val="16"/>
          <w:szCs w:val="16"/>
          <w:lang w:val="es-ES" w:eastAsia="es-MX"/>
        </w:rPr>
        <w:t xml:space="preserve"> Conferencia Mexi</w:t>
      </w:r>
      <w:r>
        <w:rPr>
          <w:rFonts w:ascii="MyriadPro-Regular" w:eastAsia="Times New Roman" w:hAnsi="MyriadPro-Regular" w:cs="Arial"/>
          <w:color w:val="000000"/>
          <w:sz w:val="16"/>
          <w:szCs w:val="16"/>
          <w:lang w:val="es-ES" w:eastAsia="es-MX"/>
        </w:rPr>
        <w:t xml:space="preserve">cana de Acceso </w:t>
      </w:r>
    </w:p>
    <w:p w14:paraId="7454D2E4" w14:textId="77777777" w:rsidR="00680FD0" w:rsidRDefault="00680FD0" w:rsidP="00680FD0">
      <w:pPr>
        <w:spacing w:after="0"/>
        <w:jc w:val="both"/>
        <w:rPr>
          <w:rFonts w:ascii="GalanoGrotesque-Medium" w:eastAsia="Times New Roman" w:hAnsi="GalanoGrotesque-Medium" w:cs="Arial"/>
          <w:sz w:val="24"/>
          <w:szCs w:val="21"/>
          <w:lang w:val="es-ES" w:eastAsia="es-ES"/>
        </w:rPr>
        <w:sectPr w:rsidR="00680FD0" w:rsidSect="00680FD0">
          <w:footnotePr>
            <w:numStart w:val="4"/>
          </w:footnotePr>
          <w:type w:val="continuous"/>
          <w:pgSz w:w="12240" w:h="15840"/>
          <w:pgMar w:top="1418" w:right="1134" w:bottom="1418" w:left="1134" w:header="709" w:footer="709" w:gutter="0"/>
          <w:cols w:num="2" w:space="567"/>
          <w:docGrid w:linePitch="360"/>
        </w:sectPr>
      </w:pPr>
    </w:p>
    <w:p w14:paraId="40A9F2B7" w14:textId="77777777" w:rsidR="00F32CC0" w:rsidRDefault="00F32CC0" w:rsidP="00EE36E7">
      <w:pPr>
        <w:widowControl w:val="0"/>
        <w:autoSpaceDE w:val="0"/>
        <w:autoSpaceDN w:val="0"/>
        <w:adjustRightInd w:val="0"/>
        <w:spacing w:after="0" w:line="240" w:lineRule="atLeast"/>
        <w:jc w:val="center"/>
        <w:rPr>
          <w:rFonts w:ascii="GalanoGrotesque-Medium" w:eastAsia="Times New Roman" w:hAnsi="GalanoGrotesque-Medium" w:cs="Arial"/>
          <w:b/>
          <w:sz w:val="16"/>
          <w:szCs w:val="16"/>
          <w:lang w:val="es-ES" w:eastAsia="es-ES"/>
        </w:rPr>
      </w:pPr>
    </w:p>
    <w:p w14:paraId="52D11BA3" w14:textId="77777777" w:rsidR="00F32CC0" w:rsidRDefault="00F32CC0" w:rsidP="00EE36E7">
      <w:pPr>
        <w:widowControl w:val="0"/>
        <w:autoSpaceDE w:val="0"/>
        <w:autoSpaceDN w:val="0"/>
        <w:adjustRightInd w:val="0"/>
        <w:spacing w:after="0" w:line="240" w:lineRule="atLeast"/>
        <w:jc w:val="center"/>
        <w:rPr>
          <w:rFonts w:ascii="GalanoGrotesque-Medium" w:eastAsia="Times New Roman" w:hAnsi="GalanoGrotesque-Medium" w:cs="Arial"/>
          <w:b/>
          <w:sz w:val="16"/>
          <w:szCs w:val="16"/>
          <w:lang w:val="es-ES" w:eastAsia="es-ES"/>
        </w:rPr>
      </w:pPr>
    </w:p>
    <w:p w14:paraId="752B7DD5" w14:textId="77777777" w:rsidR="00680FD0" w:rsidRPr="00D918D3" w:rsidRDefault="00680FD0" w:rsidP="00EE36E7">
      <w:pPr>
        <w:widowControl w:val="0"/>
        <w:autoSpaceDE w:val="0"/>
        <w:autoSpaceDN w:val="0"/>
        <w:adjustRightInd w:val="0"/>
        <w:spacing w:after="0" w:line="240" w:lineRule="atLeast"/>
        <w:jc w:val="center"/>
        <w:rPr>
          <w:rFonts w:ascii="GalanoGrotesque-Medium" w:eastAsia="Times New Roman" w:hAnsi="GalanoGrotesque-Medium" w:cs="Arial"/>
          <w:b/>
          <w:sz w:val="16"/>
          <w:szCs w:val="16"/>
          <w:lang w:val="es-ES" w:eastAsia="es-ES"/>
        </w:rPr>
      </w:pPr>
      <w:r w:rsidRPr="00D918D3">
        <w:rPr>
          <w:rFonts w:ascii="GalanoGrotesque-Medium" w:eastAsia="Times New Roman" w:hAnsi="GalanoGrotesque-Medium" w:cs="Arial"/>
          <w:b/>
          <w:sz w:val="16"/>
          <w:szCs w:val="16"/>
          <w:lang w:val="es-ES" w:eastAsia="es-ES"/>
        </w:rPr>
        <w:t>Tabla 9.4</w:t>
      </w:r>
    </w:p>
    <w:p w14:paraId="2087467F" w14:textId="77777777" w:rsidR="00680FD0" w:rsidRDefault="00680FD0" w:rsidP="00680FD0">
      <w:pPr>
        <w:spacing w:after="0"/>
        <w:jc w:val="center"/>
        <w:rPr>
          <w:rFonts w:ascii="GalanoGrotesque-Medium" w:eastAsia="Times New Roman" w:hAnsi="GalanoGrotesque-Medium" w:cs="Arial"/>
          <w:sz w:val="20"/>
          <w:szCs w:val="20"/>
          <w:lang w:val="es-ES" w:eastAsia="es-ES"/>
        </w:rPr>
      </w:pPr>
      <w:r w:rsidRPr="00D918D3">
        <w:rPr>
          <w:rFonts w:ascii="GalanoGrotesque-Medium" w:eastAsia="Times New Roman" w:hAnsi="GalanoGrotesque-Medium" w:cs="Arial"/>
          <w:sz w:val="16"/>
          <w:szCs w:val="16"/>
          <w:lang w:val="es-ES" w:eastAsia="es-ES"/>
        </w:rPr>
        <w:t>Métrica de la Transparencia</w:t>
      </w:r>
    </w:p>
    <w:p w14:paraId="00A84231" w14:textId="77777777" w:rsidR="00EE36E7" w:rsidRPr="00EE36E7" w:rsidRDefault="00EE36E7" w:rsidP="00680FD0">
      <w:pPr>
        <w:spacing w:after="0"/>
        <w:jc w:val="center"/>
        <w:rPr>
          <w:rFonts w:ascii="GalanoGrotesque-Medium" w:eastAsia="Times New Roman" w:hAnsi="GalanoGrotesque-Medium" w:cs="Arial"/>
          <w:sz w:val="20"/>
          <w:szCs w:val="20"/>
          <w:lang w:val="es-ES" w:eastAsia="es-ES"/>
        </w:rPr>
      </w:pPr>
    </w:p>
    <w:tbl>
      <w:tblPr>
        <w:tblW w:w="9150" w:type="dxa"/>
        <w:jc w:val="center"/>
        <w:tblCellMar>
          <w:left w:w="70" w:type="dxa"/>
          <w:right w:w="70" w:type="dxa"/>
        </w:tblCellMar>
        <w:tblLook w:val="04A0" w:firstRow="1" w:lastRow="0" w:firstColumn="1" w:lastColumn="0" w:noHBand="0" w:noVBand="1"/>
      </w:tblPr>
      <w:tblGrid>
        <w:gridCol w:w="2237"/>
        <w:gridCol w:w="1563"/>
        <w:gridCol w:w="1065"/>
        <w:gridCol w:w="1118"/>
        <w:gridCol w:w="1113"/>
        <w:gridCol w:w="1092"/>
        <w:gridCol w:w="962"/>
      </w:tblGrid>
      <w:tr w:rsidR="00680FD0" w:rsidRPr="00680FD0" w14:paraId="31A2D289" w14:textId="77777777" w:rsidTr="00F32CC0">
        <w:trPr>
          <w:trHeight w:val="799"/>
          <w:jc w:val="center"/>
        </w:trPr>
        <w:tc>
          <w:tcPr>
            <w:tcW w:w="2237" w:type="dxa"/>
            <w:tcBorders>
              <w:top w:val="single" w:sz="4" w:space="0" w:color="auto"/>
              <w:left w:val="single" w:sz="4" w:space="0" w:color="auto"/>
              <w:bottom w:val="single" w:sz="4" w:space="0" w:color="auto"/>
              <w:right w:val="nil"/>
            </w:tcBorders>
            <w:shd w:val="clear" w:color="auto" w:fill="auto"/>
            <w:noWrap/>
            <w:vAlign w:val="bottom"/>
            <w:hideMark/>
          </w:tcPr>
          <w:p w14:paraId="5200134A" w14:textId="77777777" w:rsidR="00680FD0" w:rsidRPr="00D63823" w:rsidRDefault="00680FD0" w:rsidP="00680FD0">
            <w:pPr>
              <w:spacing w:after="0" w:line="240" w:lineRule="auto"/>
              <w:rPr>
                <w:rFonts w:ascii="MyriadPro-Regular" w:eastAsia="Times New Roman" w:hAnsi="MyriadPro-Regular" w:cs="Arial"/>
                <w:sz w:val="20"/>
                <w:szCs w:val="20"/>
                <w:lang w:eastAsia="es-MX"/>
              </w:rPr>
            </w:pPr>
          </w:p>
        </w:tc>
        <w:tc>
          <w:tcPr>
            <w:tcW w:w="1563" w:type="dxa"/>
            <w:tcBorders>
              <w:top w:val="single" w:sz="4" w:space="0" w:color="auto"/>
              <w:left w:val="single" w:sz="4" w:space="0" w:color="auto"/>
              <w:bottom w:val="single" w:sz="4" w:space="0" w:color="auto"/>
              <w:right w:val="single" w:sz="4" w:space="0" w:color="auto"/>
            </w:tcBorders>
            <w:shd w:val="clear" w:color="000000" w:fill="CC0099"/>
            <w:noWrap/>
            <w:vAlign w:val="bottom"/>
            <w:hideMark/>
          </w:tcPr>
          <w:p w14:paraId="67F0CE48" w14:textId="616E4D57" w:rsidR="00680FD0" w:rsidRPr="00D63823" w:rsidRDefault="00680FD0" w:rsidP="00D63823">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Normatividad</w:t>
            </w:r>
          </w:p>
        </w:tc>
        <w:tc>
          <w:tcPr>
            <w:tcW w:w="1065" w:type="dxa"/>
            <w:tcBorders>
              <w:top w:val="single" w:sz="4" w:space="0" w:color="auto"/>
              <w:left w:val="nil"/>
              <w:bottom w:val="single" w:sz="4" w:space="0" w:color="auto"/>
              <w:right w:val="single" w:sz="4" w:space="0" w:color="auto"/>
            </w:tcBorders>
            <w:shd w:val="clear" w:color="000000" w:fill="CC0099"/>
            <w:noWrap/>
            <w:vAlign w:val="bottom"/>
            <w:hideMark/>
          </w:tcPr>
          <w:p w14:paraId="1C2681A4" w14:textId="7AC7959F" w:rsidR="00680FD0" w:rsidRPr="00D63823" w:rsidRDefault="00680FD0" w:rsidP="00D63823">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Portale</w:t>
            </w:r>
            <w:r w:rsidR="00D63823">
              <w:rPr>
                <w:rFonts w:ascii="MyriadPro-Regular" w:eastAsia="Times New Roman" w:hAnsi="MyriadPro-Regular" w:cs="Arial"/>
                <w:sz w:val="20"/>
                <w:szCs w:val="20"/>
                <w:lang w:eastAsia="es-MX"/>
              </w:rPr>
              <w:t>s</w:t>
            </w:r>
          </w:p>
        </w:tc>
        <w:tc>
          <w:tcPr>
            <w:tcW w:w="1118" w:type="dxa"/>
            <w:tcBorders>
              <w:top w:val="single" w:sz="4" w:space="0" w:color="auto"/>
              <w:left w:val="nil"/>
              <w:bottom w:val="single" w:sz="4" w:space="0" w:color="auto"/>
              <w:right w:val="single" w:sz="4" w:space="0" w:color="auto"/>
            </w:tcBorders>
            <w:shd w:val="clear" w:color="000000" w:fill="CC0099"/>
            <w:noWrap/>
            <w:vAlign w:val="bottom"/>
            <w:hideMark/>
          </w:tcPr>
          <w:p w14:paraId="0C48301F" w14:textId="55C3FF27" w:rsidR="00680FD0" w:rsidRPr="00D63823" w:rsidRDefault="00680FD0" w:rsidP="00D63823">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Usuario Simulado</w:t>
            </w:r>
          </w:p>
        </w:tc>
        <w:tc>
          <w:tcPr>
            <w:tcW w:w="1113" w:type="dxa"/>
            <w:tcBorders>
              <w:top w:val="single" w:sz="4" w:space="0" w:color="auto"/>
              <w:left w:val="nil"/>
              <w:bottom w:val="single" w:sz="4" w:space="0" w:color="auto"/>
              <w:right w:val="single" w:sz="4" w:space="0" w:color="auto"/>
            </w:tcBorders>
            <w:shd w:val="clear" w:color="000000" w:fill="CC0099"/>
            <w:noWrap/>
            <w:vAlign w:val="bottom"/>
            <w:hideMark/>
          </w:tcPr>
          <w:p w14:paraId="486AC9F0" w14:textId="5B2067E3" w:rsidR="00680FD0" w:rsidRPr="00D63823" w:rsidRDefault="00680FD0" w:rsidP="00D63823">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Órganos Garantes</w:t>
            </w:r>
          </w:p>
        </w:tc>
        <w:tc>
          <w:tcPr>
            <w:tcW w:w="1092" w:type="dxa"/>
            <w:tcBorders>
              <w:top w:val="single" w:sz="4" w:space="0" w:color="auto"/>
              <w:left w:val="nil"/>
              <w:bottom w:val="single" w:sz="4" w:space="0" w:color="auto"/>
              <w:right w:val="single" w:sz="4" w:space="0" w:color="auto"/>
            </w:tcBorders>
            <w:shd w:val="clear" w:color="000000" w:fill="CC0099"/>
            <w:noWrap/>
            <w:vAlign w:val="bottom"/>
            <w:hideMark/>
          </w:tcPr>
          <w:p w14:paraId="43D1CA43" w14:textId="053E5ED0" w:rsidR="00680FD0" w:rsidRPr="00D63823" w:rsidRDefault="00680FD0" w:rsidP="00D63823">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Sujeto Obligado</w:t>
            </w:r>
          </w:p>
        </w:tc>
        <w:tc>
          <w:tcPr>
            <w:tcW w:w="962" w:type="dxa"/>
            <w:tcBorders>
              <w:top w:val="single" w:sz="4" w:space="0" w:color="auto"/>
              <w:left w:val="nil"/>
              <w:bottom w:val="single" w:sz="4" w:space="0" w:color="auto"/>
              <w:right w:val="single" w:sz="4" w:space="0" w:color="auto"/>
            </w:tcBorders>
            <w:shd w:val="clear" w:color="000000" w:fill="CC0099"/>
            <w:noWrap/>
            <w:vAlign w:val="bottom"/>
            <w:hideMark/>
          </w:tcPr>
          <w:p w14:paraId="62495084" w14:textId="44C801E4" w:rsidR="00680FD0" w:rsidRPr="00D63823" w:rsidRDefault="00680FD0" w:rsidP="00D63823">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Métrica 2014</w:t>
            </w:r>
          </w:p>
        </w:tc>
      </w:tr>
      <w:tr w:rsidR="00680FD0" w:rsidRPr="00680FD0" w14:paraId="668722D1" w14:textId="77777777" w:rsidTr="00F32CC0">
        <w:trPr>
          <w:trHeight w:val="799"/>
          <w:jc w:val="center"/>
        </w:trPr>
        <w:tc>
          <w:tcPr>
            <w:tcW w:w="22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3B1E7" w14:textId="77777777" w:rsidR="00680FD0" w:rsidRPr="006F0ABF" w:rsidRDefault="00680FD0" w:rsidP="00680FD0">
            <w:pPr>
              <w:spacing w:after="0" w:line="240" w:lineRule="auto"/>
              <w:rPr>
                <w:rFonts w:ascii="MyriadPro-Regular" w:eastAsia="Times New Roman" w:hAnsi="MyriadPro-Regular" w:cs="Arial"/>
                <w:sz w:val="24"/>
                <w:szCs w:val="24"/>
                <w:lang w:eastAsia="es-MX"/>
              </w:rPr>
            </w:pPr>
            <w:r w:rsidRPr="006F0ABF">
              <w:rPr>
                <w:rFonts w:ascii="MyriadPro-Regular" w:eastAsia="Times New Roman" w:hAnsi="MyriadPro-Regular" w:cs="Arial"/>
                <w:sz w:val="24"/>
                <w:szCs w:val="24"/>
                <w:lang w:eastAsia="es-MX"/>
              </w:rPr>
              <w:t>Michoacán</w:t>
            </w:r>
          </w:p>
        </w:tc>
        <w:tc>
          <w:tcPr>
            <w:tcW w:w="1563" w:type="dxa"/>
            <w:tcBorders>
              <w:top w:val="nil"/>
              <w:left w:val="nil"/>
              <w:bottom w:val="single" w:sz="4" w:space="0" w:color="auto"/>
              <w:right w:val="single" w:sz="4" w:space="0" w:color="auto"/>
            </w:tcBorders>
            <w:shd w:val="clear" w:color="auto" w:fill="auto"/>
            <w:noWrap/>
            <w:vAlign w:val="bottom"/>
            <w:hideMark/>
          </w:tcPr>
          <w:p w14:paraId="477CC67B" w14:textId="77777777" w:rsidR="00680FD0" w:rsidRPr="00D63823" w:rsidRDefault="00680FD0" w:rsidP="00680FD0">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0.688</w:t>
            </w:r>
          </w:p>
        </w:tc>
        <w:tc>
          <w:tcPr>
            <w:tcW w:w="1065" w:type="dxa"/>
            <w:tcBorders>
              <w:top w:val="nil"/>
              <w:left w:val="nil"/>
              <w:bottom w:val="single" w:sz="4" w:space="0" w:color="auto"/>
              <w:right w:val="single" w:sz="4" w:space="0" w:color="auto"/>
            </w:tcBorders>
            <w:shd w:val="clear" w:color="auto" w:fill="auto"/>
            <w:noWrap/>
            <w:vAlign w:val="bottom"/>
            <w:hideMark/>
          </w:tcPr>
          <w:p w14:paraId="18D7352D" w14:textId="77777777" w:rsidR="00680FD0" w:rsidRPr="00D63823" w:rsidRDefault="00680FD0" w:rsidP="00680FD0">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0.827</w:t>
            </w:r>
          </w:p>
        </w:tc>
        <w:tc>
          <w:tcPr>
            <w:tcW w:w="1118" w:type="dxa"/>
            <w:tcBorders>
              <w:top w:val="nil"/>
              <w:left w:val="nil"/>
              <w:bottom w:val="single" w:sz="4" w:space="0" w:color="auto"/>
              <w:right w:val="single" w:sz="4" w:space="0" w:color="auto"/>
            </w:tcBorders>
            <w:shd w:val="clear" w:color="auto" w:fill="auto"/>
            <w:noWrap/>
            <w:vAlign w:val="bottom"/>
            <w:hideMark/>
          </w:tcPr>
          <w:p w14:paraId="131FC6AF" w14:textId="77777777" w:rsidR="00680FD0" w:rsidRPr="00D63823" w:rsidRDefault="00680FD0" w:rsidP="00680FD0">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0.398</w:t>
            </w:r>
          </w:p>
        </w:tc>
        <w:tc>
          <w:tcPr>
            <w:tcW w:w="1113" w:type="dxa"/>
            <w:tcBorders>
              <w:top w:val="nil"/>
              <w:left w:val="nil"/>
              <w:bottom w:val="single" w:sz="4" w:space="0" w:color="auto"/>
              <w:right w:val="single" w:sz="4" w:space="0" w:color="auto"/>
            </w:tcBorders>
            <w:shd w:val="clear" w:color="auto" w:fill="auto"/>
            <w:noWrap/>
            <w:vAlign w:val="bottom"/>
            <w:hideMark/>
          </w:tcPr>
          <w:p w14:paraId="4515D80E" w14:textId="77777777" w:rsidR="00680FD0" w:rsidRPr="00D63823" w:rsidRDefault="00680FD0" w:rsidP="00680FD0">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0.416</w:t>
            </w:r>
          </w:p>
        </w:tc>
        <w:tc>
          <w:tcPr>
            <w:tcW w:w="1092" w:type="dxa"/>
            <w:tcBorders>
              <w:top w:val="nil"/>
              <w:left w:val="nil"/>
              <w:bottom w:val="single" w:sz="4" w:space="0" w:color="auto"/>
              <w:right w:val="single" w:sz="4" w:space="0" w:color="auto"/>
            </w:tcBorders>
            <w:shd w:val="clear" w:color="auto" w:fill="auto"/>
            <w:noWrap/>
            <w:vAlign w:val="bottom"/>
            <w:hideMark/>
          </w:tcPr>
          <w:p w14:paraId="720E5891" w14:textId="77777777" w:rsidR="00680FD0" w:rsidRPr="00D63823" w:rsidRDefault="00680FD0" w:rsidP="00680FD0">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0.578</w:t>
            </w:r>
          </w:p>
        </w:tc>
        <w:tc>
          <w:tcPr>
            <w:tcW w:w="962" w:type="dxa"/>
            <w:tcBorders>
              <w:top w:val="nil"/>
              <w:left w:val="nil"/>
              <w:bottom w:val="single" w:sz="4" w:space="0" w:color="auto"/>
              <w:right w:val="single" w:sz="4" w:space="0" w:color="auto"/>
            </w:tcBorders>
            <w:shd w:val="clear" w:color="auto" w:fill="auto"/>
            <w:noWrap/>
            <w:vAlign w:val="bottom"/>
            <w:hideMark/>
          </w:tcPr>
          <w:p w14:paraId="2B689775" w14:textId="77777777" w:rsidR="00680FD0" w:rsidRPr="00D63823" w:rsidRDefault="00680FD0" w:rsidP="00680FD0">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0.582</w:t>
            </w:r>
          </w:p>
        </w:tc>
      </w:tr>
      <w:tr w:rsidR="00680FD0" w:rsidRPr="00680FD0" w14:paraId="4FFCD456" w14:textId="77777777" w:rsidTr="00F32CC0">
        <w:trPr>
          <w:trHeight w:val="799"/>
          <w:jc w:val="center"/>
        </w:trPr>
        <w:tc>
          <w:tcPr>
            <w:tcW w:w="2237" w:type="dxa"/>
            <w:tcBorders>
              <w:top w:val="nil"/>
              <w:left w:val="single" w:sz="4" w:space="0" w:color="auto"/>
              <w:bottom w:val="single" w:sz="4" w:space="0" w:color="auto"/>
              <w:right w:val="single" w:sz="4" w:space="0" w:color="auto"/>
            </w:tcBorders>
            <w:shd w:val="clear" w:color="auto" w:fill="auto"/>
            <w:noWrap/>
            <w:vAlign w:val="bottom"/>
            <w:hideMark/>
          </w:tcPr>
          <w:p w14:paraId="694F986B" w14:textId="77777777" w:rsidR="00680FD0" w:rsidRPr="006F0ABF" w:rsidRDefault="00680FD0" w:rsidP="00680FD0">
            <w:pPr>
              <w:spacing w:after="0" w:line="240" w:lineRule="auto"/>
              <w:rPr>
                <w:rFonts w:ascii="MyriadPro-Regular" w:eastAsia="Times New Roman" w:hAnsi="MyriadPro-Regular" w:cs="Arial"/>
                <w:sz w:val="24"/>
                <w:szCs w:val="24"/>
                <w:lang w:eastAsia="es-MX"/>
              </w:rPr>
            </w:pPr>
            <w:r w:rsidRPr="006F0ABF">
              <w:rPr>
                <w:rFonts w:ascii="MyriadPro-Regular" w:eastAsia="Times New Roman" w:hAnsi="MyriadPro-Regular" w:cs="Arial"/>
                <w:sz w:val="24"/>
                <w:szCs w:val="24"/>
                <w:lang w:eastAsia="es-MX"/>
              </w:rPr>
              <w:t xml:space="preserve">Promedio Nacional </w:t>
            </w:r>
          </w:p>
        </w:tc>
        <w:tc>
          <w:tcPr>
            <w:tcW w:w="1563" w:type="dxa"/>
            <w:tcBorders>
              <w:top w:val="nil"/>
              <w:left w:val="nil"/>
              <w:bottom w:val="single" w:sz="4" w:space="0" w:color="auto"/>
              <w:right w:val="single" w:sz="4" w:space="0" w:color="auto"/>
            </w:tcBorders>
            <w:shd w:val="clear" w:color="auto" w:fill="auto"/>
            <w:noWrap/>
            <w:vAlign w:val="bottom"/>
            <w:hideMark/>
          </w:tcPr>
          <w:p w14:paraId="2D9741AD" w14:textId="77777777" w:rsidR="00680FD0" w:rsidRPr="00D63823" w:rsidRDefault="00680FD0" w:rsidP="00680FD0">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0.799</w:t>
            </w:r>
          </w:p>
        </w:tc>
        <w:tc>
          <w:tcPr>
            <w:tcW w:w="1065" w:type="dxa"/>
            <w:tcBorders>
              <w:top w:val="nil"/>
              <w:left w:val="nil"/>
              <w:bottom w:val="single" w:sz="4" w:space="0" w:color="auto"/>
              <w:right w:val="single" w:sz="4" w:space="0" w:color="auto"/>
            </w:tcBorders>
            <w:shd w:val="clear" w:color="auto" w:fill="auto"/>
            <w:noWrap/>
            <w:vAlign w:val="bottom"/>
            <w:hideMark/>
          </w:tcPr>
          <w:p w14:paraId="1EBF468B" w14:textId="77777777" w:rsidR="00680FD0" w:rsidRPr="00D63823" w:rsidRDefault="00680FD0" w:rsidP="00680FD0">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0.845</w:t>
            </w:r>
          </w:p>
        </w:tc>
        <w:tc>
          <w:tcPr>
            <w:tcW w:w="1118" w:type="dxa"/>
            <w:tcBorders>
              <w:top w:val="nil"/>
              <w:left w:val="nil"/>
              <w:bottom w:val="single" w:sz="4" w:space="0" w:color="auto"/>
              <w:right w:val="single" w:sz="4" w:space="0" w:color="auto"/>
            </w:tcBorders>
            <w:shd w:val="clear" w:color="auto" w:fill="auto"/>
            <w:noWrap/>
            <w:vAlign w:val="bottom"/>
            <w:hideMark/>
          </w:tcPr>
          <w:p w14:paraId="2B01FAEB" w14:textId="77777777" w:rsidR="00680FD0" w:rsidRPr="00D63823" w:rsidRDefault="00680FD0" w:rsidP="00680FD0">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0.632</w:t>
            </w:r>
          </w:p>
        </w:tc>
        <w:tc>
          <w:tcPr>
            <w:tcW w:w="1113" w:type="dxa"/>
            <w:tcBorders>
              <w:top w:val="nil"/>
              <w:left w:val="nil"/>
              <w:bottom w:val="single" w:sz="4" w:space="0" w:color="auto"/>
              <w:right w:val="single" w:sz="4" w:space="0" w:color="auto"/>
            </w:tcBorders>
            <w:shd w:val="clear" w:color="auto" w:fill="auto"/>
            <w:noWrap/>
            <w:vAlign w:val="bottom"/>
            <w:hideMark/>
          </w:tcPr>
          <w:p w14:paraId="0603DA99" w14:textId="77777777" w:rsidR="00680FD0" w:rsidRPr="00D63823" w:rsidRDefault="00680FD0" w:rsidP="00680FD0">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0.652</w:t>
            </w:r>
          </w:p>
        </w:tc>
        <w:tc>
          <w:tcPr>
            <w:tcW w:w="1092" w:type="dxa"/>
            <w:tcBorders>
              <w:top w:val="nil"/>
              <w:left w:val="nil"/>
              <w:bottom w:val="single" w:sz="4" w:space="0" w:color="auto"/>
              <w:right w:val="single" w:sz="4" w:space="0" w:color="auto"/>
            </w:tcBorders>
            <w:shd w:val="clear" w:color="auto" w:fill="auto"/>
            <w:noWrap/>
            <w:vAlign w:val="bottom"/>
            <w:hideMark/>
          </w:tcPr>
          <w:p w14:paraId="5CE5CF29" w14:textId="77777777" w:rsidR="00680FD0" w:rsidRPr="00D63823" w:rsidRDefault="00680FD0" w:rsidP="00680FD0">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0.701</w:t>
            </w:r>
          </w:p>
        </w:tc>
        <w:tc>
          <w:tcPr>
            <w:tcW w:w="962" w:type="dxa"/>
            <w:tcBorders>
              <w:top w:val="nil"/>
              <w:left w:val="nil"/>
              <w:bottom w:val="single" w:sz="4" w:space="0" w:color="auto"/>
              <w:right w:val="single" w:sz="4" w:space="0" w:color="auto"/>
            </w:tcBorders>
            <w:shd w:val="clear" w:color="auto" w:fill="auto"/>
            <w:noWrap/>
            <w:vAlign w:val="bottom"/>
            <w:hideMark/>
          </w:tcPr>
          <w:p w14:paraId="77493ED8" w14:textId="77777777" w:rsidR="00680FD0" w:rsidRPr="00D63823" w:rsidRDefault="00680FD0" w:rsidP="00680FD0">
            <w:pPr>
              <w:spacing w:after="0" w:line="240" w:lineRule="auto"/>
              <w:jc w:val="right"/>
              <w:rPr>
                <w:rFonts w:ascii="MyriadPro-Regular" w:eastAsia="Times New Roman" w:hAnsi="MyriadPro-Regular" w:cs="Arial"/>
                <w:sz w:val="20"/>
                <w:szCs w:val="20"/>
                <w:lang w:eastAsia="es-MX"/>
              </w:rPr>
            </w:pPr>
            <w:r w:rsidRPr="00D63823">
              <w:rPr>
                <w:rFonts w:ascii="MyriadPro-Regular" w:eastAsia="Times New Roman" w:hAnsi="MyriadPro-Regular" w:cs="Arial"/>
                <w:sz w:val="20"/>
                <w:szCs w:val="20"/>
                <w:lang w:eastAsia="es-MX"/>
              </w:rPr>
              <w:t>0.726</w:t>
            </w:r>
          </w:p>
        </w:tc>
      </w:tr>
    </w:tbl>
    <w:p w14:paraId="316AC86D" w14:textId="77777777" w:rsidR="00EE36E7" w:rsidRPr="00D918D3" w:rsidRDefault="00EE36E7" w:rsidP="00F32CC0">
      <w:pPr>
        <w:autoSpaceDE w:val="0"/>
        <w:autoSpaceDN w:val="0"/>
        <w:adjustRightInd w:val="0"/>
        <w:spacing w:after="0" w:line="240" w:lineRule="auto"/>
        <w:ind w:left="284" w:right="361"/>
        <w:jc w:val="center"/>
        <w:rPr>
          <w:rFonts w:ascii="Myriad Pro" w:hAnsi="Myriad Pro" w:cs="Calibri"/>
          <w:b/>
          <w:bCs/>
          <w:color w:val="404040" w:themeColor="text1" w:themeTint="BF"/>
          <w:sz w:val="16"/>
          <w:szCs w:val="16"/>
          <w:lang w:eastAsia="es-MX"/>
        </w:rPr>
      </w:pPr>
      <w:r w:rsidRPr="00D918D3">
        <w:rPr>
          <w:rFonts w:ascii="Myriad Pro" w:hAnsi="Myriad Pro" w:cs="Calibri"/>
          <w:color w:val="404040" w:themeColor="text1" w:themeTint="BF"/>
          <w:sz w:val="16"/>
          <w:szCs w:val="16"/>
          <w:lang w:eastAsia="es-MX"/>
        </w:rPr>
        <w:t>Disponibilidad de la información al 23 de abril de cada año</w:t>
      </w:r>
    </w:p>
    <w:p w14:paraId="6897C7A0" w14:textId="77777777" w:rsidR="00EE36E7" w:rsidRPr="00D918D3" w:rsidRDefault="00EE36E7" w:rsidP="00F32CC0">
      <w:pPr>
        <w:autoSpaceDE w:val="0"/>
        <w:autoSpaceDN w:val="0"/>
        <w:adjustRightInd w:val="0"/>
        <w:spacing w:after="0" w:line="240" w:lineRule="auto"/>
        <w:ind w:left="284" w:right="361"/>
        <w:jc w:val="center"/>
        <w:rPr>
          <w:rFonts w:ascii="Myriad Pro" w:hAnsi="Myriad Pro" w:cs="Times New Roman"/>
          <w:color w:val="404040" w:themeColor="text1" w:themeTint="BF"/>
          <w:sz w:val="16"/>
          <w:szCs w:val="16"/>
          <w:lang w:val="es-ES" w:eastAsia="es-ES"/>
        </w:rPr>
      </w:pPr>
      <w:r w:rsidRPr="00D918D3">
        <w:rPr>
          <w:rFonts w:ascii="Myriad Pro" w:hAnsi="Myriad Pro" w:cs="Calibri"/>
          <w:b/>
          <w:bCs/>
          <w:color w:val="404040" w:themeColor="text1" w:themeTint="BF"/>
          <w:sz w:val="16"/>
          <w:szCs w:val="16"/>
          <w:lang w:eastAsia="es-MX"/>
        </w:rPr>
        <w:t>NE</w:t>
      </w:r>
      <w:r w:rsidRPr="00D918D3">
        <w:rPr>
          <w:rFonts w:ascii="Myriad Pro" w:hAnsi="Myriad Pro" w:cs="Calibri"/>
          <w:color w:val="404040" w:themeColor="text1" w:themeTint="BF"/>
          <w:sz w:val="16"/>
          <w:szCs w:val="16"/>
          <w:lang w:eastAsia="es-MX"/>
        </w:rPr>
        <w:t>: No Evaluado</w:t>
      </w:r>
    </w:p>
    <w:p w14:paraId="21D230A6" w14:textId="77777777" w:rsidR="00EE36E7" w:rsidRPr="00D918D3" w:rsidRDefault="00082EBA" w:rsidP="00F32CC0">
      <w:pPr>
        <w:autoSpaceDE w:val="0"/>
        <w:autoSpaceDN w:val="0"/>
        <w:adjustRightInd w:val="0"/>
        <w:spacing w:after="0" w:line="240" w:lineRule="auto"/>
        <w:ind w:left="284" w:right="361"/>
        <w:jc w:val="center"/>
        <w:rPr>
          <w:rFonts w:ascii="Myriad Pro" w:hAnsi="Myriad Pro" w:cs="Calibri"/>
          <w:b/>
          <w:bCs/>
          <w:color w:val="404040" w:themeColor="text1" w:themeTint="BF"/>
          <w:sz w:val="16"/>
          <w:szCs w:val="16"/>
          <w:lang w:eastAsia="es-MX"/>
        </w:rPr>
      </w:pPr>
      <w:hyperlink r:id="rId80" w:history="1">
        <w:r w:rsidR="00EE36E7" w:rsidRPr="00D918D3">
          <w:rPr>
            <w:rStyle w:val="Hipervnculo"/>
            <w:rFonts w:ascii="Myriad Pro" w:hAnsi="Myriad Pro" w:cs="Calibri"/>
            <w:color w:val="404040" w:themeColor="text1" w:themeTint="BF"/>
            <w:sz w:val="16"/>
            <w:szCs w:val="16"/>
            <w:u w:val="none"/>
            <w:lang w:eastAsia="es-MX"/>
          </w:rPr>
          <w:t>http://transparenciafiscal.edomex.gob.mx/sites/transparenciafiscal.edomex.gob.mx/files/files/pdf/Resumen_ITDIF_2015.pdf</w:t>
        </w:r>
      </w:hyperlink>
    </w:p>
    <w:p w14:paraId="17A11CE2" w14:textId="77777777" w:rsidR="00EE36E7" w:rsidRPr="00EE36E7" w:rsidRDefault="00EE36E7" w:rsidP="00F32CC0">
      <w:pPr>
        <w:autoSpaceDE w:val="0"/>
        <w:autoSpaceDN w:val="0"/>
        <w:adjustRightInd w:val="0"/>
        <w:spacing w:after="0" w:line="240" w:lineRule="auto"/>
        <w:ind w:left="284" w:right="361"/>
        <w:jc w:val="center"/>
        <w:rPr>
          <w:rFonts w:ascii="MyriadPro-Regular" w:hAnsi="MyriadPro-Regular" w:cs="Times New Roman"/>
          <w:color w:val="404040" w:themeColor="text1" w:themeTint="BF"/>
          <w:sz w:val="16"/>
          <w:szCs w:val="16"/>
          <w:lang w:val="es-ES" w:eastAsia="es-ES"/>
        </w:rPr>
      </w:pPr>
      <w:r w:rsidRPr="00D918D3">
        <w:rPr>
          <w:rFonts w:ascii="Myriad Pro" w:hAnsi="Myriad Pro" w:cs="Calibri"/>
          <w:b/>
          <w:bCs/>
          <w:color w:val="404040" w:themeColor="text1" w:themeTint="BF"/>
          <w:sz w:val="16"/>
          <w:szCs w:val="16"/>
          <w:lang w:eastAsia="es-MX"/>
        </w:rPr>
        <w:t xml:space="preserve">Fuente: </w:t>
      </w:r>
      <w:proofErr w:type="spellStart"/>
      <w:r w:rsidRPr="00D918D3">
        <w:rPr>
          <w:rFonts w:ascii="Myriad Pro" w:hAnsi="Myriad Pro" w:cs="Calibri"/>
          <w:color w:val="404040" w:themeColor="text1" w:themeTint="BF"/>
          <w:sz w:val="16"/>
          <w:szCs w:val="16"/>
          <w:lang w:eastAsia="es-MX"/>
        </w:rPr>
        <w:t>Aregional</w:t>
      </w:r>
      <w:proofErr w:type="spellEnd"/>
      <w:r w:rsidRPr="00D918D3">
        <w:rPr>
          <w:rFonts w:ascii="Myriad Pro" w:hAnsi="Myriad Pro" w:cs="Calibri"/>
          <w:color w:val="404040" w:themeColor="text1" w:themeTint="BF"/>
          <w:sz w:val="16"/>
          <w:szCs w:val="16"/>
          <w:lang w:eastAsia="es-MX"/>
        </w:rPr>
        <w:t xml:space="preserve"> con base en el Índice de Transparencia de la Información Fiscal de las Entidades Federativas (ITDIF).</w:t>
      </w:r>
    </w:p>
    <w:p w14:paraId="1ADDD602" w14:textId="77777777" w:rsidR="00EE36E7" w:rsidRPr="00EE36E7" w:rsidRDefault="00EE36E7" w:rsidP="00F32CC0">
      <w:pPr>
        <w:spacing w:after="0"/>
        <w:jc w:val="center"/>
        <w:rPr>
          <w:rFonts w:ascii="MyriadPro-Regular" w:eastAsia="Times New Roman" w:hAnsi="MyriadPro-Regular" w:cs="Arial"/>
          <w:color w:val="595959" w:themeColor="text1" w:themeTint="A6"/>
          <w:sz w:val="20"/>
          <w:szCs w:val="20"/>
          <w:lang w:val="es-ES" w:eastAsia="es-ES"/>
        </w:rPr>
      </w:pPr>
    </w:p>
    <w:p w14:paraId="4B67BE47" w14:textId="77777777" w:rsidR="00680FD0" w:rsidRPr="00EE36E7" w:rsidRDefault="00680FD0" w:rsidP="00F32CC0">
      <w:pPr>
        <w:tabs>
          <w:tab w:val="center" w:pos="4986"/>
        </w:tabs>
        <w:jc w:val="center"/>
        <w:rPr>
          <w:rFonts w:ascii="GalanoGrotesque-Regular" w:eastAsia="Times New Roman" w:hAnsi="GalanoGrotesque-Regular" w:cs="Arial"/>
          <w:sz w:val="20"/>
          <w:szCs w:val="20"/>
          <w:lang w:val="es-ES" w:eastAsia="es-ES"/>
        </w:rPr>
        <w:sectPr w:rsidR="00680FD0" w:rsidRPr="00EE36E7" w:rsidSect="00680FD0">
          <w:footnotePr>
            <w:numStart w:val="4"/>
          </w:footnotePr>
          <w:type w:val="continuous"/>
          <w:pgSz w:w="12240" w:h="15840"/>
          <w:pgMar w:top="1418" w:right="1134" w:bottom="1418" w:left="1134" w:header="709" w:footer="709" w:gutter="0"/>
          <w:cols w:space="567"/>
          <w:docGrid w:linePitch="360"/>
        </w:sectPr>
      </w:pPr>
    </w:p>
    <w:p w14:paraId="65FB826E" w14:textId="77777777" w:rsidR="00680FD0" w:rsidRDefault="00680FD0" w:rsidP="00680FD0">
      <w:pPr>
        <w:spacing w:after="0"/>
        <w:rPr>
          <w:rFonts w:ascii="GalanoGrotesque-Medium" w:eastAsia="Times New Roman" w:hAnsi="GalanoGrotesque-Medium" w:cs="Arial"/>
          <w:sz w:val="24"/>
          <w:szCs w:val="21"/>
          <w:lang w:val="es-ES" w:eastAsia="es-ES"/>
        </w:rPr>
        <w:sectPr w:rsidR="00680FD0" w:rsidSect="00680FD0">
          <w:footnotePr>
            <w:numStart w:val="4"/>
          </w:footnotePr>
          <w:type w:val="continuous"/>
          <w:pgSz w:w="12240" w:h="15840"/>
          <w:pgMar w:top="1418" w:right="1134" w:bottom="1418" w:left="1134" w:header="709" w:footer="709" w:gutter="0"/>
          <w:cols w:num="2" w:space="567"/>
          <w:docGrid w:linePitch="360"/>
        </w:sectPr>
      </w:pPr>
    </w:p>
    <w:p w14:paraId="7CC7B197" w14:textId="77777777" w:rsidR="00680FD0" w:rsidRPr="00D918D3" w:rsidRDefault="00680FD0" w:rsidP="008A657A">
      <w:pPr>
        <w:widowControl w:val="0"/>
        <w:autoSpaceDE w:val="0"/>
        <w:autoSpaceDN w:val="0"/>
        <w:adjustRightInd w:val="0"/>
        <w:spacing w:after="0" w:line="240" w:lineRule="atLeast"/>
        <w:jc w:val="center"/>
        <w:rPr>
          <w:rFonts w:ascii="GalanoGrotesque-Medium" w:eastAsia="Times New Roman" w:hAnsi="GalanoGrotesque-Medium" w:cs="Arial"/>
          <w:b/>
          <w:sz w:val="16"/>
          <w:lang w:val="es-ES" w:eastAsia="es-ES"/>
        </w:rPr>
      </w:pPr>
      <w:r w:rsidRPr="00D918D3">
        <w:rPr>
          <w:rFonts w:ascii="GalanoGrotesque-Medium" w:eastAsia="Times New Roman" w:hAnsi="GalanoGrotesque-Medium" w:cs="Arial"/>
          <w:b/>
          <w:sz w:val="16"/>
          <w:lang w:val="es-ES" w:eastAsia="es-ES"/>
        </w:rPr>
        <w:lastRenderedPageBreak/>
        <w:t>Gráfica 9.1</w:t>
      </w:r>
    </w:p>
    <w:p w14:paraId="13F4E2D2" w14:textId="77777777" w:rsidR="00680FD0" w:rsidRPr="00D918D3" w:rsidRDefault="00680FD0" w:rsidP="00680FD0">
      <w:pPr>
        <w:spacing w:after="0" w:line="240" w:lineRule="auto"/>
        <w:jc w:val="center"/>
        <w:rPr>
          <w:rFonts w:ascii="GalanoGrotesque-Medium" w:eastAsia="Times New Roman" w:hAnsi="GalanoGrotesque-Medium" w:cs="Arial"/>
          <w:sz w:val="16"/>
          <w:lang w:val="es-ES" w:eastAsia="es-ES"/>
        </w:rPr>
      </w:pPr>
      <w:r w:rsidRPr="00D918D3">
        <w:rPr>
          <w:rFonts w:ascii="GalanoGrotesque-Medium" w:eastAsia="Times New Roman" w:hAnsi="GalanoGrotesque-Medium" w:cs="Arial"/>
          <w:sz w:val="16"/>
          <w:lang w:val="es-ES" w:eastAsia="es-ES"/>
        </w:rPr>
        <w:t xml:space="preserve">Métrica de Transparencia, Michoacán y Media Nacional </w:t>
      </w:r>
    </w:p>
    <w:p w14:paraId="34AE5A99" w14:textId="77777777" w:rsidR="008A657A" w:rsidRPr="00680FD0" w:rsidRDefault="008A657A" w:rsidP="00680FD0">
      <w:pPr>
        <w:spacing w:after="0" w:line="240" w:lineRule="auto"/>
        <w:jc w:val="center"/>
        <w:rPr>
          <w:rFonts w:ascii="GalanoGrotesque-Medium" w:eastAsia="Times New Roman" w:hAnsi="GalanoGrotesque-Medium" w:cs="Trebuchet MS"/>
          <w:sz w:val="24"/>
          <w:szCs w:val="21"/>
          <w:lang w:val="es-ES" w:eastAsia="es-ES"/>
        </w:rPr>
      </w:pPr>
    </w:p>
    <w:p w14:paraId="1FD65DED" w14:textId="77777777" w:rsidR="00680FD0" w:rsidRPr="00680FD0" w:rsidRDefault="00680FD0" w:rsidP="008A657A">
      <w:pPr>
        <w:spacing w:after="0" w:line="240" w:lineRule="auto"/>
        <w:jc w:val="center"/>
        <w:rPr>
          <w:rFonts w:ascii="GalanoGrotesque-Medium" w:eastAsia="Times New Roman" w:hAnsi="GalanoGrotesque-Medium" w:cs="Trebuchet MS"/>
          <w:sz w:val="24"/>
          <w:szCs w:val="21"/>
          <w:lang w:val="es-ES" w:eastAsia="es-ES"/>
        </w:rPr>
      </w:pPr>
      <w:r w:rsidRPr="00680FD0">
        <w:rPr>
          <w:rFonts w:ascii="GalanoGrotesque-Medium" w:eastAsia="Times New Roman" w:hAnsi="GalanoGrotesque-Medium" w:cs="Arial"/>
          <w:noProof/>
          <w:sz w:val="24"/>
          <w:szCs w:val="24"/>
          <w:lang w:val="es-ES" w:eastAsia="es-ES"/>
        </w:rPr>
        <w:drawing>
          <wp:inline distT="0" distB="0" distL="0" distR="0" wp14:anchorId="2037AD5E" wp14:editId="1302A181">
            <wp:extent cx="4684452" cy="4049635"/>
            <wp:effectExtent l="0" t="0" r="1905" b="8255"/>
            <wp:docPr id="75802" name="Imagen 7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46298" cy="4103100"/>
                    </a:xfrm>
                    <a:prstGeom prst="rect">
                      <a:avLst/>
                    </a:prstGeom>
                    <a:noFill/>
                  </pic:spPr>
                </pic:pic>
              </a:graphicData>
            </a:graphic>
          </wp:inline>
        </w:drawing>
      </w:r>
    </w:p>
    <w:p w14:paraId="4D0B66C5" w14:textId="36B2A4A9" w:rsidR="00E6368D" w:rsidRDefault="00E6368D" w:rsidP="00680FD0">
      <w:pPr>
        <w:spacing w:after="0" w:line="240" w:lineRule="auto"/>
        <w:jc w:val="center"/>
        <w:rPr>
          <w:rFonts w:ascii="GalanoGrotesque-Medium" w:eastAsia="Times New Roman" w:hAnsi="GalanoGrotesque-Medium" w:cs="Arial"/>
          <w:b/>
          <w:sz w:val="16"/>
          <w:szCs w:val="16"/>
          <w:lang w:val="es-ES" w:eastAsia="es-ES"/>
        </w:rPr>
      </w:pPr>
    </w:p>
    <w:p w14:paraId="7DDE055E" w14:textId="3B4B265C" w:rsidR="00680FD0" w:rsidRPr="00D918D3" w:rsidRDefault="00680FD0" w:rsidP="00680FD0">
      <w:pPr>
        <w:spacing w:after="0" w:line="240" w:lineRule="auto"/>
        <w:jc w:val="center"/>
        <w:rPr>
          <w:rFonts w:ascii="GalanoGrotesque-Medium" w:eastAsia="Times New Roman" w:hAnsi="GalanoGrotesque-Medium" w:cs="Arial"/>
          <w:b/>
          <w:sz w:val="16"/>
          <w:szCs w:val="16"/>
          <w:lang w:val="es-ES" w:eastAsia="es-ES"/>
        </w:rPr>
      </w:pPr>
      <w:r w:rsidRPr="00D918D3">
        <w:rPr>
          <w:rFonts w:ascii="GalanoGrotesque-Medium" w:eastAsia="Times New Roman" w:hAnsi="GalanoGrotesque-Medium" w:cs="Arial"/>
          <w:b/>
          <w:sz w:val="16"/>
          <w:szCs w:val="16"/>
          <w:lang w:val="es-ES" w:eastAsia="es-ES"/>
        </w:rPr>
        <w:t>Gráfica 9.2</w:t>
      </w:r>
    </w:p>
    <w:p w14:paraId="4980D0CC" w14:textId="77777777" w:rsidR="00680FD0" w:rsidRPr="00D918D3" w:rsidRDefault="00680FD0" w:rsidP="00680FD0">
      <w:pPr>
        <w:spacing w:after="0" w:line="240" w:lineRule="auto"/>
        <w:jc w:val="center"/>
        <w:rPr>
          <w:rFonts w:ascii="GalanoGrotesque-Medium" w:eastAsia="Times New Roman" w:hAnsi="GalanoGrotesque-Medium" w:cs="Trebuchet MS"/>
          <w:sz w:val="16"/>
          <w:szCs w:val="16"/>
          <w:lang w:val="es-ES" w:eastAsia="es-ES"/>
        </w:rPr>
      </w:pPr>
      <w:r w:rsidRPr="00D918D3">
        <w:rPr>
          <w:rFonts w:ascii="GalanoGrotesque-Medium" w:eastAsia="Times New Roman" w:hAnsi="GalanoGrotesque-Medium" w:cs="Trebuchet MS"/>
          <w:sz w:val="16"/>
          <w:szCs w:val="16"/>
          <w:lang w:eastAsia="es-ES"/>
        </w:rPr>
        <w:t>Índice Métrica de la Transparencia 2014 por entidad federativa</w:t>
      </w:r>
    </w:p>
    <w:p w14:paraId="6DD70071" w14:textId="77777777" w:rsidR="00680FD0" w:rsidRPr="00680FD0" w:rsidRDefault="00680FD0" w:rsidP="00680FD0">
      <w:pPr>
        <w:spacing w:after="0" w:line="240" w:lineRule="auto"/>
        <w:jc w:val="center"/>
        <w:rPr>
          <w:rFonts w:ascii="GalanoGrotesque-Medium" w:eastAsia="Times New Roman" w:hAnsi="GalanoGrotesque-Medium" w:cs="Trebuchet MS"/>
          <w:b/>
          <w:sz w:val="24"/>
          <w:szCs w:val="21"/>
          <w:lang w:val="es-ES" w:eastAsia="es-ES"/>
        </w:rPr>
      </w:pPr>
    </w:p>
    <w:p w14:paraId="6C38E330" w14:textId="77777777" w:rsidR="00680FD0" w:rsidRPr="00680FD0" w:rsidRDefault="00680FD0" w:rsidP="00680FD0">
      <w:pPr>
        <w:spacing w:after="0" w:line="240" w:lineRule="auto"/>
        <w:jc w:val="center"/>
        <w:rPr>
          <w:rFonts w:ascii="GalanoGrotesque-Medium" w:eastAsia="Times New Roman" w:hAnsi="GalanoGrotesque-Medium" w:cs="Trebuchet MS"/>
          <w:sz w:val="24"/>
          <w:szCs w:val="21"/>
          <w:lang w:val="es-ES" w:eastAsia="es-ES"/>
        </w:rPr>
      </w:pPr>
      <w:r w:rsidRPr="00680FD0">
        <w:rPr>
          <w:rFonts w:ascii="GalanoGrotesque-Medium" w:eastAsia="Times New Roman" w:hAnsi="GalanoGrotesque-Medium" w:cs="Times New Roman"/>
          <w:noProof/>
          <w:sz w:val="24"/>
          <w:szCs w:val="24"/>
          <w:lang w:val="es-ES" w:eastAsia="es-ES"/>
        </w:rPr>
        <w:drawing>
          <wp:inline distT="0" distB="0" distL="0" distR="0" wp14:anchorId="66FA87BC" wp14:editId="34362824">
            <wp:extent cx="3382645" cy="5191125"/>
            <wp:effectExtent l="0" t="0" r="8255" b="9525"/>
            <wp:docPr id="75803" name="Gráfico 758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D709741" w14:textId="77777777" w:rsidR="00680FD0" w:rsidRDefault="00680FD0" w:rsidP="00680FD0">
      <w:pPr>
        <w:widowControl w:val="0"/>
        <w:tabs>
          <w:tab w:val="left" w:pos="1035"/>
        </w:tabs>
        <w:autoSpaceDE w:val="0"/>
        <w:autoSpaceDN w:val="0"/>
        <w:adjustRightInd w:val="0"/>
        <w:spacing w:after="0" w:line="240" w:lineRule="auto"/>
        <w:ind w:left="567" w:right="503"/>
        <w:jc w:val="both"/>
        <w:rPr>
          <w:rFonts w:ascii="GalanoGrotesque-Regular" w:eastAsia="Times New Roman" w:hAnsi="GalanoGrotesque-Regular" w:cs="Arial"/>
          <w:sz w:val="20"/>
          <w:szCs w:val="20"/>
          <w:lang w:val="es-ES" w:eastAsia="es-ES"/>
        </w:rPr>
      </w:pPr>
    </w:p>
    <w:p w14:paraId="43678B54" w14:textId="77777777" w:rsidR="008A657A" w:rsidRPr="00D918D3" w:rsidRDefault="008A657A" w:rsidP="00D918D3">
      <w:pPr>
        <w:widowControl w:val="0"/>
        <w:tabs>
          <w:tab w:val="left" w:pos="1035"/>
        </w:tabs>
        <w:autoSpaceDE w:val="0"/>
        <w:autoSpaceDN w:val="0"/>
        <w:adjustRightInd w:val="0"/>
        <w:spacing w:after="0" w:line="240" w:lineRule="auto"/>
        <w:ind w:left="567" w:right="503"/>
        <w:rPr>
          <w:rFonts w:ascii="Myriad Pro" w:eastAsia="Times New Roman" w:hAnsi="Myriad Pro" w:cs="Arial"/>
          <w:color w:val="404040" w:themeColor="text1" w:themeTint="BF"/>
          <w:sz w:val="16"/>
          <w:szCs w:val="16"/>
          <w:u w:val="single"/>
          <w:lang w:eastAsia="es-ES"/>
        </w:rPr>
      </w:pPr>
      <w:r w:rsidRPr="00D918D3">
        <w:rPr>
          <w:rFonts w:ascii="Myriad Pro" w:eastAsia="Times New Roman" w:hAnsi="Myriad Pro" w:cs="Arial"/>
          <w:color w:val="404040" w:themeColor="text1" w:themeTint="BF"/>
          <w:sz w:val="16"/>
          <w:szCs w:val="16"/>
          <w:lang w:val="es-ES" w:eastAsia="es-ES"/>
        </w:rPr>
        <w:t xml:space="preserve">Fuente: </w:t>
      </w:r>
      <w:r w:rsidRPr="00D918D3">
        <w:rPr>
          <w:rFonts w:ascii="Myriad Pro" w:eastAsia="Times New Roman" w:hAnsi="Myriad Pro" w:cs="Arial"/>
          <w:color w:val="404040" w:themeColor="text1" w:themeTint="BF"/>
          <w:sz w:val="16"/>
          <w:szCs w:val="16"/>
          <w:lang w:eastAsia="es-ES"/>
        </w:rPr>
        <w:t>Fuente: Centro de Investigación y Docencia Económicas A.C</w:t>
      </w:r>
      <w:proofErr w:type="gramStart"/>
      <w:r w:rsidRPr="00D918D3">
        <w:rPr>
          <w:rFonts w:ascii="Myriad Pro" w:eastAsia="Times New Roman" w:hAnsi="Myriad Pro" w:cs="Arial"/>
          <w:color w:val="404040" w:themeColor="text1" w:themeTint="BF"/>
          <w:sz w:val="16"/>
          <w:szCs w:val="16"/>
          <w:lang w:eastAsia="es-ES"/>
        </w:rPr>
        <w:t>./</w:t>
      </w:r>
      <w:proofErr w:type="gramEnd"/>
      <w:r w:rsidRPr="00D918D3">
        <w:rPr>
          <w:rFonts w:ascii="Myriad Pro" w:eastAsia="Times New Roman" w:hAnsi="Myriad Pro" w:cs="Arial"/>
          <w:color w:val="404040" w:themeColor="text1" w:themeTint="BF"/>
          <w:sz w:val="16"/>
          <w:szCs w:val="16"/>
          <w:lang w:eastAsia="es-ES"/>
        </w:rPr>
        <w:t xml:space="preserve"> Conferencia Mexicana de Acceso a la Información (</w:t>
      </w:r>
      <w:hyperlink r:id="rId83" w:history="1">
        <w:r w:rsidRPr="00D918D3">
          <w:rPr>
            <w:rStyle w:val="Hipervnculo"/>
            <w:rFonts w:ascii="Myriad Pro" w:eastAsia="Times New Roman" w:hAnsi="Myriad Pro" w:cs="Arial"/>
            <w:color w:val="404040" w:themeColor="text1" w:themeTint="BF"/>
            <w:sz w:val="16"/>
            <w:szCs w:val="16"/>
            <w:u w:val="none"/>
            <w:lang w:eastAsia="es-ES"/>
          </w:rPr>
          <w:t>www.metricadetransparencia.cide.edu)/</w:t>
        </w:r>
      </w:hyperlink>
    </w:p>
    <w:p w14:paraId="7658F2E0" w14:textId="77777777" w:rsidR="008A657A" w:rsidRPr="00D918D3" w:rsidRDefault="008A657A" w:rsidP="00D918D3">
      <w:pPr>
        <w:widowControl w:val="0"/>
        <w:tabs>
          <w:tab w:val="left" w:pos="1035"/>
        </w:tabs>
        <w:autoSpaceDE w:val="0"/>
        <w:autoSpaceDN w:val="0"/>
        <w:adjustRightInd w:val="0"/>
        <w:spacing w:after="0" w:line="240" w:lineRule="auto"/>
        <w:ind w:left="567" w:right="503"/>
        <w:rPr>
          <w:rFonts w:ascii="Myriad Pro" w:eastAsia="Times New Roman" w:hAnsi="Myriad Pro" w:cs="Arial"/>
          <w:sz w:val="16"/>
          <w:szCs w:val="16"/>
          <w:lang w:eastAsia="es-ES"/>
        </w:rPr>
      </w:pPr>
    </w:p>
    <w:p w14:paraId="4D6A61A7" w14:textId="77777777" w:rsidR="008A657A" w:rsidRPr="00D918D3" w:rsidRDefault="008A657A" w:rsidP="00D918D3">
      <w:pPr>
        <w:widowControl w:val="0"/>
        <w:tabs>
          <w:tab w:val="left" w:pos="1035"/>
        </w:tabs>
        <w:autoSpaceDE w:val="0"/>
        <w:autoSpaceDN w:val="0"/>
        <w:adjustRightInd w:val="0"/>
        <w:spacing w:after="0" w:line="240" w:lineRule="auto"/>
        <w:ind w:left="567" w:right="503"/>
        <w:rPr>
          <w:rFonts w:ascii="Myriad Pro" w:eastAsia="Times New Roman" w:hAnsi="Myriad Pro" w:cs="Arial"/>
          <w:sz w:val="16"/>
          <w:szCs w:val="16"/>
          <w:lang w:eastAsia="es-ES"/>
        </w:rPr>
        <w:sectPr w:rsidR="008A657A" w:rsidRPr="00D918D3" w:rsidSect="00680FD0">
          <w:footnotePr>
            <w:numStart w:val="4"/>
          </w:footnotePr>
          <w:type w:val="continuous"/>
          <w:pgSz w:w="12240" w:h="15840"/>
          <w:pgMar w:top="1418" w:right="1134" w:bottom="1418" w:left="1134" w:header="709" w:footer="709" w:gutter="0"/>
          <w:cols w:space="567"/>
          <w:docGrid w:linePitch="360"/>
        </w:sectPr>
      </w:pPr>
    </w:p>
    <w:p w14:paraId="05311B43" w14:textId="77777777" w:rsidR="00624ED2" w:rsidRPr="00954EE2" w:rsidRDefault="00624ED2" w:rsidP="00954EE2">
      <w:pPr>
        <w:spacing w:after="240"/>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lastRenderedPageBreak/>
        <w:t xml:space="preserve">Por otro lado, uno más de los parámetros fundamentales de un buen gobierno es la honestidad. El Índice Nacional de Corrupción y Buen Gobierno (INCBG) mide la corrupción con incidencia en los hogares; registra la corrupción en servicios públicos ofrecidos por los tres niveles de gobierno y por empresas particulares; utiliza una escala de 0 a 100: a menor  valor, menor corrupción; en 2010 se midieron 35 servicios públicos. </w:t>
      </w:r>
    </w:p>
    <w:p w14:paraId="47EF99C7" w14:textId="77777777" w:rsidR="00624ED2" w:rsidRPr="00954EE2" w:rsidRDefault="00624ED2" w:rsidP="00954EE2">
      <w:pPr>
        <w:spacing w:after="240"/>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lastRenderedPageBreak/>
        <w:t>Este índice se basa en trámites y servicios que van desde el pago de impuestos, la atención en salas de urgencias médicas, la obtención de cartillas militares, pasaportes, constancias de estudios, solicitudes de permisos para abrir un negocio, verificación vehicular, llevar un caso en un juzgado; hasta la obtención y regularización de servicios públicos básicos como agua potable, drenaje, alumbrado y pavimentación.</w:t>
      </w:r>
    </w:p>
    <w:p w14:paraId="4DEB4939" w14:textId="7192BB56" w:rsidR="00624ED2" w:rsidRPr="00954EE2" w:rsidRDefault="00624ED2" w:rsidP="00954EE2">
      <w:pPr>
        <w:spacing w:after="240"/>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lastRenderedPageBreak/>
        <w:t xml:space="preserve">Los estados donde se presentaron mayores actos de corrupción de acuerdo al INCBG 2010 fueron: Guerrero, Hidalgo, Colima y Oaxaca, los que mejoraron su índice fueron: Baja California Sur, Yucatán y Morelos. Sin embargo, de acuerdo al estudio de Transparencia Mexicana las Entidades con los primeros lugares en el Índice de Corrupción son: la Ciudad de México y el  Estado de México.  </w:t>
      </w:r>
      <w:r w:rsidRPr="00954EE2">
        <w:rPr>
          <w:rFonts w:ascii="MyriadPro-Regular" w:hAnsi="MyriadPro-Regular" w:cs="MyriadPro-Regular"/>
          <w:color w:val="414142"/>
          <w:sz w:val="20"/>
          <w:szCs w:val="20"/>
        </w:rPr>
        <w:lastRenderedPageBreak/>
        <w:t>Michoacán se encuentra en este índice por debajo de la media nacional en el lugar número 20 con una calificación de 8,4, mientras la media nacional se ubica en 10.3.</w:t>
      </w:r>
    </w:p>
    <w:p w14:paraId="5664F90E" w14:textId="77777777" w:rsidR="00680FD0" w:rsidRDefault="00680FD0" w:rsidP="00680FD0">
      <w:pPr>
        <w:spacing w:after="0" w:line="240" w:lineRule="auto"/>
        <w:jc w:val="center"/>
        <w:rPr>
          <w:rFonts w:ascii="GalanoGrotesque-Medium" w:eastAsia="Times New Roman" w:hAnsi="GalanoGrotesque-Medium" w:cs="Times New Roman"/>
          <w:sz w:val="24"/>
          <w:szCs w:val="24"/>
          <w:lang w:val="es-ES" w:eastAsia="es-ES"/>
        </w:rPr>
      </w:pPr>
    </w:p>
    <w:p w14:paraId="7AB376C2" w14:textId="77777777" w:rsidR="00624ED2" w:rsidRDefault="00624ED2" w:rsidP="00680FD0">
      <w:pPr>
        <w:spacing w:after="0" w:line="240" w:lineRule="auto"/>
        <w:jc w:val="center"/>
        <w:rPr>
          <w:rFonts w:ascii="GalanoGrotesque-Medium" w:eastAsia="Times New Roman" w:hAnsi="GalanoGrotesque-Medium" w:cs="Times New Roman"/>
          <w:sz w:val="24"/>
          <w:szCs w:val="24"/>
          <w:lang w:val="es-ES" w:eastAsia="es-ES"/>
        </w:rPr>
        <w:sectPr w:rsidR="00624ED2" w:rsidSect="00680FD0">
          <w:footnotePr>
            <w:numStart w:val="4"/>
          </w:footnotePr>
          <w:type w:val="continuous"/>
          <w:pgSz w:w="12240" w:h="15840"/>
          <w:pgMar w:top="1418" w:right="1134" w:bottom="1418" w:left="1134" w:header="709" w:footer="709" w:gutter="0"/>
          <w:cols w:num="2" w:space="567"/>
          <w:docGrid w:linePitch="360"/>
        </w:sectPr>
      </w:pPr>
    </w:p>
    <w:p w14:paraId="51DFE72A" w14:textId="77777777" w:rsidR="00680FD0" w:rsidRPr="00680FD0" w:rsidRDefault="00680FD0" w:rsidP="00680FD0">
      <w:pPr>
        <w:spacing w:after="0" w:line="240" w:lineRule="auto"/>
        <w:jc w:val="center"/>
        <w:rPr>
          <w:rFonts w:ascii="GalanoGrotesque-Medium" w:eastAsia="Times New Roman" w:hAnsi="GalanoGrotesque-Medium" w:cs="Times New Roman"/>
          <w:sz w:val="24"/>
          <w:szCs w:val="24"/>
          <w:lang w:val="es-ES" w:eastAsia="es-ES"/>
        </w:rPr>
      </w:pPr>
    </w:p>
    <w:p w14:paraId="15B4054F" w14:textId="77777777" w:rsidR="00624ED2" w:rsidRPr="00D918D3" w:rsidRDefault="00624ED2" w:rsidP="00624ED2">
      <w:pPr>
        <w:autoSpaceDE w:val="0"/>
        <w:autoSpaceDN w:val="0"/>
        <w:adjustRightInd w:val="0"/>
        <w:spacing w:after="0" w:line="240" w:lineRule="auto"/>
        <w:jc w:val="center"/>
        <w:rPr>
          <w:rFonts w:ascii="GalanoGrotesque-Medium" w:eastAsia="Times New Roman" w:hAnsi="GalanoGrotesque-Medium" w:cs="Arial"/>
          <w:b/>
          <w:sz w:val="16"/>
          <w:szCs w:val="16"/>
          <w:lang w:val="es-ES" w:eastAsia="es-ES"/>
        </w:rPr>
      </w:pPr>
      <w:r w:rsidRPr="00D918D3">
        <w:rPr>
          <w:rFonts w:ascii="GalanoGrotesque-Medium" w:eastAsia="Times New Roman" w:hAnsi="GalanoGrotesque-Medium" w:cs="Arial"/>
          <w:b/>
          <w:sz w:val="16"/>
          <w:szCs w:val="16"/>
          <w:lang w:val="es-ES" w:eastAsia="es-ES"/>
        </w:rPr>
        <w:t>Gráfica 9.3</w:t>
      </w:r>
    </w:p>
    <w:p w14:paraId="363C7361" w14:textId="77777777" w:rsidR="00624ED2" w:rsidRPr="00D918D3" w:rsidRDefault="00624ED2" w:rsidP="00624ED2">
      <w:pPr>
        <w:spacing w:after="0" w:line="240" w:lineRule="auto"/>
        <w:jc w:val="center"/>
        <w:rPr>
          <w:rFonts w:ascii="GalanoGrotesque-Medium" w:eastAsia="Times New Roman" w:hAnsi="GalanoGrotesque-Medium" w:cs="Arial"/>
          <w:sz w:val="16"/>
          <w:szCs w:val="16"/>
          <w:lang w:val="es-ES" w:eastAsia="es-ES"/>
        </w:rPr>
      </w:pPr>
      <w:r w:rsidRPr="00D918D3">
        <w:rPr>
          <w:rFonts w:ascii="GalanoGrotesque-Medium" w:eastAsia="Times New Roman" w:hAnsi="GalanoGrotesque-Medium" w:cs="Arial"/>
          <w:sz w:val="16"/>
          <w:szCs w:val="16"/>
          <w:lang w:val="es-ES" w:eastAsia="es-ES"/>
        </w:rPr>
        <w:t>Índice Nacional de Corrupción y Buen Gobierno (INCBG), 2010</w:t>
      </w:r>
    </w:p>
    <w:p w14:paraId="4823153F" w14:textId="77777777" w:rsidR="008A657A" w:rsidRPr="00D918D3" w:rsidRDefault="008A657A" w:rsidP="00624ED2">
      <w:pPr>
        <w:spacing w:after="0" w:line="240" w:lineRule="auto"/>
        <w:jc w:val="center"/>
        <w:rPr>
          <w:rFonts w:ascii="GalanoGrotesque-Medium" w:eastAsia="Times New Roman" w:hAnsi="GalanoGrotesque-Medium" w:cs="Arial"/>
          <w:sz w:val="16"/>
          <w:szCs w:val="16"/>
          <w:lang w:val="es-ES" w:eastAsia="es-ES"/>
        </w:rPr>
      </w:pPr>
    </w:p>
    <w:p w14:paraId="04F2F6E5" w14:textId="77777777" w:rsidR="00624ED2" w:rsidRPr="008A657A" w:rsidRDefault="00624ED2" w:rsidP="008A657A">
      <w:pPr>
        <w:spacing w:after="240"/>
        <w:jc w:val="center"/>
        <w:rPr>
          <w:rFonts w:ascii="GalanoGrotesque-Medium" w:eastAsia="Times New Roman" w:hAnsi="GalanoGrotesque-Medium" w:cs="Arial"/>
          <w:sz w:val="24"/>
          <w:szCs w:val="28"/>
          <w:lang w:val="es-ES" w:eastAsia="es-MX"/>
        </w:rPr>
      </w:pPr>
      <w:r w:rsidRPr="00624ED2">
        <w:rPr>
          <w:rFonts w:ascii="GalanoGrotesque-Medium" w:eastAsia="Times New Roman" w:hAnsi="GalanoGrotesque-Medium" w:cs="Times New Roman"/>
          <w:noProof/>
          <w:sz w:val="24"/>
          <w:szCs w:val="24"/>
          <w:lang w:val="es-ES" w:eastAsia="es-ES"/>
        </w:rPr>
        <w:drawing>
          <wp:inline distT="0" distB="0" distL="0" distR="0" wp14:anchorId="50FC1788" wp14:editId="721FA7A0">
            <wp:extent cx="4057650" cy="5276850"/>
            <wp:effectExtent l="0" t="0" r="0" b="0"/>
            <wp:docPr id="75804" name="Gráfico 758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7F65CF8" w14:textId="77777777" w:rsidR="008A657A" w:rsidRPr="008A657A" w:rsidRDefault="008A657A" w:rsidP="00D918D3">
      <w:pPr>
        <w:widowControl w:val="0"/>
        <w:tabs>
          <w:tab w:val="left" w:pos="1035"/>
        </w:tabs>
        <w:autoSpaceDE w:val="0"/>
        <w:autoSpaceDN w:val="0"/>
        <w:adjustRightInd w:val="0"/>
        <w:spacing w:after="0" w:line="240" w:lineRule="auto"/>
        <w:ind w:left="1843" w:right="1495"/>
        <w:rPr>
          <w:rFonts w:ascii="MyriadPro-Regular" w:hAnsi="MyriadPro-Regular" w:cs="Arial"/>
          <w:color w:val="404040" w:themeColor="text1" w:themeTint="BF"/>
          <w:sz w:val="16"/>
          <w:szCs w:val="16"/>
        </w:rPr>
      </w:pPr>
      <w:r w:rsidRPr="008A657A">
        <w:rPr>
          <w:rFonts w:ascii="MyriadPro-Regular" w:hAnsi="MyriadPro-Regular" w:cs="Arial"/>
          <w:color w:val="404040" w:themeColor="text1" w:themeTint="BF"/>
          <w:sz w:val="16"/>
          <w:szCs w:val="16"/>
        </w:rPr>
        <w:t xml:space="preserve">Fuente: Fuente: Transparencia Mexicana.  </w:t>
      </w:r>
    </w:p>
    <w:p w14:paraId="4159959F" w14:textId="77777777" w:rsidR="008A657A" w:rsidRDefault="00082EBA" w:rsidP="00D918D3">
      <w:pPr>
        <w:spacing w:after="0" w:line="240" w:lineRule="auto"/>
        <w:ind w:left="1843" w:right="1495"/>
        <w:rPr>
          <w:rStyle w:val="Hipervnculo"/>
          <w:rFonts w:ascii="MyriadPro-Regular" w:hAnsi="MyriadPro-Regular" w:cs="Arial"/>
          <w:color w:val="404040" w:themeColor="text1" w:themeTint="BF"/>
          <w:sz w:val="16"/>
          <w:szCs w:val="16"/>
          <w:u w:val="none"/>
        </w:rPr>
      </w:pPr>
      <w:hyperlink r:id="rId85" w:history="1">
        <w:r w:rsidR="008A657A" w:rsidRPr="008A657A">
          <w:rPr>
            <w:rStyle w:val="Hipervnculo"/>
            <w:rFonts w:ascii="MyriadPro-Regular" w:hAnsi="MyriadPro-Regular" w:cs="Arial"/>
            <w:color w:val="404040" w:themeColor="text1" w:themeTint="BF"/>
            <w:sz w:val="16"/>
            <w:szCs w:val="16"/>
            <w:u w:val="none"/>
          </w:rPr>
          <w:t>http://www.tm.org.mx/wp-content/uploads/2013/05/01-INCBG-2010-Informe-Ejecutivo1.pdf</w:t>
        </w:r>
      </w:hyperlink>
    </w:p>
    <w:p w14:paraId="24CDD499" w14:textId="77777777" w:rsidR="00D918D3" w:rsidRDefault="00D918D3" w:rsidP="00D918D3">
      <w:pPr>
        <w:spacing w:after="0" w:line="240" w:lineRule="auto"/>
        <w:ind w:left="1843" w:right="1495"/>
        <w:rPr>
          <w:rStyle w:val="Hipervnculo"/>
          <w:rFonts w:ascii="MyriadPro-Regular" w:hAnsi="MyriadPro-Regular" w:cs="Arial"/>
          <w:color w:val="404040" w:themeColor="text1" w:themeTint="BF"/>
          <w:sz w:val="16"/>
          <w:szCs w:val="16"/>
          <w:u w:val="none"/>
        </w:rPr>
      </w:pPr>
      <w:r>
        <w:rPr>
          <w:rStyle w:val="Hipervnculo"/>
          <w:rFonts w:ascii="MyriadPro-Regular" w:hAnsi="MyriadPro-Regular" w:cs="Arial"/>
          <w:color w:val="404040" w:themeColor="text1" w:themeTint="BF"/>
          <w:sz w:val="16"/>
          <w:szCs w:val="16"/>
          <w:u w:val="none"/>
        </w:rPr>
        <w:br w:type="page"/>
      </w:r>
    </w:p>
    <w:p w14:paraId="0761B146" w14:textId="77777777" w:rsidR="00D918D3" w:rsidRPr="008A657A" w:rsidRDefault="00D918D3" w:rsidP="00D918D3">
      <w:pPr>
        <w:spacing w:after="0" w:line="240" w:lineRule="auto"/>
        <w:ind w:left="1843" w:right="1495"/>
        <w:rPr>
          <w:rFonts w:ascii="MyriadPro-Regular" w:hAnsi="MyriadPro-Regular" w:cs="Arial"/>
          <w:color w:val="404040" w:themeColor="text1" w:themeTint="BF"/>
          <w:sz w:val="16"/>
          <w:szCs w:val="16"/>
          <w:lang w:val="es-ES" w:eastAsia="es-MX"/>
        </w:rPr>
      </w:pPr>
    </w:p>
    <w:p w14:paraId="49DA8D0A" w14:textId="77777777" w:rsidR="008A657A" w:rsidRPr="008A657A" w:rsidRDefault="008A657A" w:rsidP="008A657A">
      <w:pPr>
        <w:widowControl w:val="0"/>
        <w:tabs>
          <w:tab w:val="left" w:pos="1035"/>
        </w:tabs>
        <w:autoSpaceDE w:val="0"/>
        <w:autoSpaceDN w:val="0"/>
        <w:adjustRightInd w:val="0"/>
        <w:spacing w:after="0" w:line="240" w:lineRule="auto"/>
        <w:ind w:right="1495"/>
        <w:jc w:val="right"/>
        <w:rPr>
          <w:rFonts w:ascii="MyriadPro-Regular" w:eastAsia="Times New Roman" w:hAnsi="MyriadPro-Regular" w:cs="Arial"/>
          <w:sz w:val="20"/>
          <w:szCs w:val="20"/>
          <w:lang w:val="es-ES" w:eastAsia="es-ES"/>
        </w:rPr>
        <w:sectPr w:rsidR="008A657A" w:rsidRPr="008A657A" w:rsidSect="00680FD0">
          <w:footnotePr>
            <w:numStart w:val="4"/>
          </w:footnotePr>
          <w:type w:val="continuous"/>
          <w:pgSz w:w="12240" w:h="15840"/>
          <w:pgMar w:top="1418" w:right="1134" w:bottom="1418" w:left="1134" w:header="709" w:footer="709" w:gutter="0"/>
          <w:cols w:space="567"/>
          <w:docGrid w:linePitch="360"/>
        </w:sectPr>
      </w:pPr>
    </w:p>
    <w:p w14:paraId="6061A4D4" w14:textId="568F4E82" w:rsidR="00624ED2" w:rsidRPr="00954EE2" w:rsidRDefault="00624ED2" w:rsidP="008A657A">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lastRenderedPageBreak/>
        <w:t xml:space="preserve">El Ranking </w:t>
      </w:r>
      <w:proofErr w:type="spellStart"/>
      <w:r w:rsidRPr="00954EE2">
        <w:rPr>
          <w:rFonts w:ascii="MyriadPro-Regular" w:hAnsi="MyriadPro-Regular" w:cs="MyriadPro-Regular"/>
          <w:color w:val="414142"/>
          <w:sz w:val="20"/>
          <w:szCs w:val="20"/>
        </w:rPr>
        <w:t>Hearcolors</w:t>
      </w:r>
      <w:proofErr w:type="spellEnd"/>
      <w:r w:rsidRPr="00954EE2">
        <w:rPr>
          <w:rFonts w:ascii="MyriadPro-Regular" w:hAnsi="MyriadPro-Regular" w:cs="MyriadPro-Regular"/>
          <w:color w:val="414142"/>
          <w:sz w:val="20"/>
          <w:szCs w:val="20"/>
        </w:rPr>
        <w:t>® presenta el estatus actual de la accesibilidad de los sitios públicos y permite conocer anualmente el avance logrado en la materia. Así mismo, este esfuerzo busca crear conciencia sobre la importancia de la inclusión a nivel nacional.</w:t>
      </w:r>
    </w:p>
    <w:p w14:paraId="1CFD3DF2" w14:textId="77777777" w:rsidR="00624ED2" w:rsidRPr="00954EE2" w:rsidRDefault="00624ED2" w:rsidP="008A657A">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Los elementos principales de accesibilidad al contenido de la red son: el diseño de las páginas y su programación. Si bien, tanto la forma de diseñar como de programar no cambian, existen ciertos criterios a considerar para permitir, por una parte, la navegación de la página con</w:t>
      </w:r>
      <w:r w:rsidRPr="00624ED2">
        <w:rPr>
          <w:rFonts w:ascii="GalanoGrotesque-Medium" w:eastAsia="Times New Roman" w:hAnsi="GalanoGrotesque-Medium" w:cs="Arial"/>
          <w:sz w:val="24"/>
          <w:szCs w:val="24"/>
          <w:lang w:val="es-ES" w:eastAsia="es-MX"/>
        </w:rPr>
        <w:t xml:space="preserve"> </w:t>
      </w:r>
      <w:r w:rsidRPr="00954EE2">
        <w:rPr>
          <w:rFonts w:ascii="MyriadPro-Regular" w:hAnsi="MyriadPro-Regular" w:cs="MyriadPro-Regular"/>
          <w:color w:val="414142"/>
          <w:sz w:val="20"/>
          <w:szCs w:val="20"/>
        </w:rPr>
        <w:t>tecnologías de asistencia, y por la otra, evitar elementos poco perceptibles por personas con discapacidad.</w:t>
      </w:r>
    </w:p>
    <w:p w14:paraId="3A3E3A17" w14:textId="77777777" w:rsidR="00624ED2" w:rsidRPr="00954EE2" w:rsidRDefault="00624ED2" w:rsidP="008A657A">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 xml:space="preserve">Michoacán se encuentra en el lugar décimo séptimo, lo cual nos indica el mucho trabajo por revertir esta tendencia. </w:t>
      </w:r>
    </w:p>
    <w:p w14:paraId="004761A5" w14:textId="77777777" w:rsidR="00624ED2" w:rsidRPr="00954EE2" w:rsidRDefault="00624ED2" w:rsidP="008A657A">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 xml:space="preserve">En cumplimiento de lo dispuesto en la Ley General de Contabilidad Gubernamental, la Secretaría de </w:t>
      </w:r>
      <w:r w:rsidRPr="00954EE2">
        <w:rPr>
          <w:rFonts w:ascii="MyriadPro-Regular" w:hAnsi="MyriadPro-Regular" w:cs="MyriadPro-Regular"/>
          <w:color w:val="414142"/>
          <w:sz w:val="20"/>
          <w:szCs w:val="20"/>
        </w:rPr>
        <w:lastRenderedPageBreak/>
        <w:t>Hacienda y Crédito Público debe hacer entrega a la H. Cámara de Diputados del Congreso de la Unión el “Informe del avance alcanzado por las Entidades Federativas, los municipios y las demarcaciones territoriales del Distrito Federal, en la implantación y operación del Presupuesto Basado en Resultados y del Sistema de Evaluación del Desempeño”.</w:t>
      </w:r>
    </w:p>
    <w:p w14:paraId="4D79AFE3" w14:textId="77777777" w:rsidR="00624ED2" w:rsidRPr="00954EE2" w:rsidRDefault="00624ED2" w:rsidP="008A657A">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Con ello se ha realizado el diagnóstico que permite conocer el avance alcanzado, en la implantación y operación del Presupuesto Basado en Resultados (PBR) y del Sistema de Evaluación del Desempeño (SED) en las entidades federativas.</w:t>
      </w:r>
    </w:p>
    <w:p w14:paraId="505D731A" w14:textId="77777777" w:rsidR="00624ED2" w:rsidRPr="00954EE2" w:rsidRDefault="00624ED2" w:rsidP="008A657A">
      <w:pPr>
        <w:spacing w:after="240" w:line="240" w:lineRule="auto"/>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El grado de avance en Michoacán con respecto a la implementación del PBR-SED y cada uno de sus componentes es muy bajo al ubicarse en el lugar vigésimo séptimo respecto a las demás entidades federativas, muy lejos de Guanajuato ubicado en primer lugar con un índice del 97.4.</w:t>
      </w:r>
    </w:p>
    <w:p w14:paraId="2C159A4B" w14:textId="77777777" w:rsidR="00624ED2" w:rsidRDefault="00624ED2" w:rsidP="00680FD0">
      <w:pPr>
        <w:tabs>
          <w:tab w:val="left" w:pos="1521"/>
        </w:tabs>
        <w:spacing w:after="240"/>
        <w:jc w:val="both"/>
        <w:rPr>
          <w:rFonts w:ascii="GalanoGrotesque-Medium" w:eastAsia="Times New Roman" w:hAnsi="GalanoGrotesque-Medium" w:cs="Arial"/>
          <w:sz w:val="24"/>
          <w:szCs w:val="24"/>
          <w:lang w:val="es-ES" w:eastAsia="es-ES"/>
        </w:rPr>
        <w:sectPr w:rsidR="00624ED2" w:rsidSect="00624ED2">
          <w:footnotePr>
            <w:numStart w:val="4"/>
          </w:footnotePr>
          <w:type w:val="continuous"/>
          <w:pgSz w:w="12240" w:h="15840"/>
          <w:pgMar w:top="1418" w:right="1134" w:bottom="1418" w:left="1134" w:header="709" w:footer="709" w:gutter="0"/>
          <w:cols w:num="2" w:space="567"/>
          <w:docGrid w:linePitch="360"/>
        </w:sectPr>
      </w:pPr>
    </w:p>
    <w:p w14:paraId="53CCEDA9" w14:textId="77777777" w:rsidR="00624ED2" w:rsidRPr="008A657A" w:rsidRDefault="00624ED2" w:rsidP="00690D16">
      <w:pPr>
        <w:spacing w:after="0" w:line="240" w:lineRule="auto"/>
        <w:jc w:val="center"/>
        <w:rPr>
          <w:rFonts w:ascii="GalanoGrotesque-Medium" w:eastAsia="Times New Roman" w:hAnsi="GalanoGrotesque-Medium" w:cs="Arial"/>
          <w:b/>
          <w:bCs/>
          <w:lang w:eastAsia="es-MX"/>
        </w:rPr>
      </w:pPr>
      <w:r w:rsidRPr="008A657A">
        <w:rPr>
          <w:rFonts w:ascii="GalanoGrotesque-Medium" w:eastAsia="Times New Roman" w:hAnsi="GalanoGrotesque-Medium" w:cs="Arial"/>
          <w:b/>
          <w:bCs/>
          <w:lang w:eastAsia="es-MX"/>
        </w:rPr>
        <w:lastRenderedPageBreak/>
        <w:t>Tabla 9.4</w:t>
      </w:r>
    </w:p>
    <w:p w14:paraId="77C651FF" w14:textId="77777777" w:rsidR="00624ED2" w:rsidRPr="00690D16" w:rsidRDefault="00624ED2" w:rsidP="008A657A">
      <w:pPr>
        <w:autoSpaceDE w:val="0"/>
        <w:autoSpaceDN w:val="0"/>
        <w:adjustRightInd w:val="0"/>
        <w:spacing w:after="0" w:line="240" w:lineRule="auto"/>
        <w:jc w:val="center"/>
        <w:rPr>
          <w:rFonts w:ascii="GalanoGrotesque-Medium" w:eastAsia="Times New Roman" w:hAnsi="GalanoGrotesque-Medium" w:cs="Arial"/>
          <w:bCs/>
          <w:sz w:val="20"/>
          <w:szCs w:val="20"/>
          <w:lang w:eastAsia="es-MX"/>
        </w:rPr>
      </w:pPr>
      <w:r w:rsidRPr="00690D16">
        <w:rPr>
          <w:rFonts w:ascii="GalanoGrotesque-Medium" w:eastAsia="Times New Roman" w:hAnsi="GalanoGrotesque-Medium" w:cs="Arial"/>
          <w:bCs/>
          <w:sz w:val="20"/>
          <w:szCs w:val="20"/>
          <w:lang w:eastAsia="es-MX"/>
        </w:rPr>
        <w:t xml:space="preserve">Ranking </w:t>
      </w:r>
      <w:proofErr w:type="spellStart"/>
      <w:r w:rsidRPr="00690D16">
        <w:rPr>
          <w:rFonts w:ascii="GalanoGrotesque-Medium" w:eastAsia="Times New Roman" w:hAnsi="GalanoGrotesque-Medium" w:cs="Arial"/>
          <w:bCs/>
          <w:sz w:val="20"/>
          <w:szCs w:val="20"/>
          <w:lang w:eastAsia="es-MX"/>
        </w:rPr>
        <w:t>HearColors</w:t>
      </w:r>
      <w:proofErr w:type="spellEnd"/>
      <w:r w:rsidRPr="00690D16">
        <w:rPr>
          <w:rFonts w:ascii="GalanoGrotesque-Medium" w:eastAsia="Times New Roman" w:hAnsi="GalanoGrotesque-Medium" w:cs="Arial"/>
          <w:bCs/>
          <w:sz w:val="20"/>
          <w:szCs w:val="20"/>
          <w:lang w:eastAsia="es-MX"/>
        </w:rPr>
        <w:t xml:space="preserve"> de Accesibilidad web</w:t>
      </w:r>
    </w:p>
    <w:p w14:paraId="0E44892B" w14:textId="77777777" w:rsidR="00690D16" w:rsidRDefault="00690D16" w:rsidP="008A657A">
      <w:pPr>
        <w:autoSpaceDE w:val="0"/>
        <w:autoSpaceDN w:val="0"/>
        <w:adjustRightInd w:val="0"/>
        <w:spacing w:after="0" w:line="240" w:lineRule="auto"/>
        <w:jc w:val="center"/>
        <w:rPr>
          <w:rFonts w:ascii="GalanoGrotesque-Medium" w:eastAsia="Times New Roman" w:hAnsi="GalanoGrotesque-Medium" w:cs="Arial"/>
          <w:bCs/>
          <w:lang w:eastAsia="es-MX"/>
        </w:rPr>
      </w:pPr>
      <w:r>
        <w:rPr>
          <w:noProof/>
          <w:lang w:val="es-ES" w:eastAsia="es-ES"/>
        </w:rPr>
        <w:drawing>
          <wp:inline distT="0" distB="0" distL="0" distR="0" wp14:anchorId="0547D19E" wp14:editId="2F415285">
            <wp:extent cx="4333875" cy="4285615"/>
            <wp:effectExtent l="0" t="0" r="0" b="0"/>
            <wp:docPr id="4301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33875" cy="4285615"/>
                    </a:xfrm>
                    <a:prstGeom prst="rect">
                      <a:avLst/>
                    </a:prstGeom>
                    <a:noFill/>
                    <a:extLst/>
                  </pic:spPr>
                </pic:pic>
              </a:graphicData>
            </a:graphic>
          </wp:inline>
        </w:drawing>
      </w:r>
    </w:p>
    <w:p w14:paraId="764EEEE4" w14:textId="77777777" w:rsidR="008A657A" w:rsidRPr="008A657A" w:rsidRDefault="008A657A" w:rsidP="00E218F4">
      <w:pPr>
        <w:autoSpaceDE w:val="0"/>
        <w:autoSpaceDN w:val="0"/>
        <w:adjustRightInd w:val="0"/>
        <w:jc w:val="center"/>
        <w:rPr>
          <w:rFonts w:ascii="MyriadPro-Regular" w:hAnsi="MyriadPro-Regular" w:cs="Arial"/>
          <w:color w:val="404040" w:themeColor="text1" w:themeTint="BF"/>
          <w:sz w:val="16"/>
          <w:szCs w:val="16"/>
          <w:lang w:val="en-US" w:eastAsia="es-MX"/>
        </w:rPr>
      </w:pPr>
      <w:r w:rsidRPr="008A657A">
        <w:rPr>
          <w:rFonts w:ascii="MyriadPro-Regular" w:hAnsi="MyriadPro-Regular" w:cs="Arial"/>
          <w:color w:val="404040" w:themeColor="text1" w:themeTint="BF"/>
          <w:sz w:val="16"/>
          <w:szCs w:val="16"/>
          <w:lang w:val="en-US" w:eastAsia="es-MX"/>
        </w:rPr>
        <w:t xml:space="preserve">Fuente: INTERNET FOR ALL, </w:t>
      </w:r>
      <w:proofErr w:type="spellStart"/>
      <w:r w:rsidRPr="008A657A">
        <w:rPr>
          <w:rFonts w:ascii="MyriadPro-Regular" w:hAnsi="MyriadPro-Regular" w:cs="Arial"/>
          <w:color w:val="404040" w:themeColor="text1" w:themeTint="BF"/>
          <w:sz w:val="16"/>
          <w:szCs w:val="16"/>
          <w:lang w:val="en-US" w:eastAsia="es-MX"/>
        </w:rPr>
        <w:t>HearColors</w:t>
      </w:r>
      <w:proofErr w:type="spellEnd"/>
      <w:r w:rsidRPr="008A657A">
        <w:rPr>
          <w:rFonts w:ascii="MyriadPro-Regular" w:hAnsi="MyriadPro-Regular" w:cs="Arial"/>
          <w:color w:val="404040" w:themeColor="text1" w:themeTint="BF"/>
          <w:sz w:val="16"/>
          <w:szCs w:val="16"/>
          <w:lang w:val="en-US" w:eastAsia="es-MX"/>
        </w:rPr>
        <w:t>. (</w:t>
      </w:r>
      <w:hyperlink r:id="rId87" w:history="1">
        <w:r w:rsidRPr="008A657A">
          <w:rPr>
            <w:rStyle w:val="Hipervnculo"/>
            <w:rFonts w:ascii="MyriadPro-Regular" w:hAnsi="MyriadPro-Regular" w:cs="Arial"/>
            <w:color w:val="404040" w:themeColor="text1" w:themeTint="BF"/>
            <w:sz w:val="16"/>
            <w:szCs w:val="16"/>
            <w:lang w:val="en-US" w:eastAsia="es-MX"/>
          </w:rPr>
          <w:t>www.hearcolors.com.mx)/</w:t>
        </w:r>
      </w:hyperlink>
    </w:p>
    <w:p w14:paraId="4D2F8A7A" w14:textId="77777777" w:rsidR="00690D16" w:rsidRPr="00D918D3" w:rsidRDefault="00690D16" w:rsidP="00690D16">
      <w:pPr>
        <w:spacing w:after="0" w:line="240" w:lineRule="auto"/>
        <w:jc w:val="center"/>
        <w:rPr>
          <w:rFonts w:ascii="GalanoGrotesque-Medium" w:hAnsi="GalanoGrotesque-Medium" w:cs="Arial"/>
          <w:b/>
          <w:sz w:val="16"/>
          <w:szCs w:val="16"/>
          <w:lang w:val="en-US"/>
        </w:rPr>
      </w:pPr>
      <w:proofErr w:type="spellStart"/>
      <w:r w:rsidRPr="00D918D3">
        <w:rPr>
          <w:rFonts w:ascii="GalanoGrotesque-Medium" w:hAnsi="GalanoGrotesque-Medium" w:cs="Arial"/>
          <w:b/>
          <w:sz w:val="16"/>
          <w:szCs w:val="16"/>
          <w:lang w:val="en-US"/>
        </w:rPr>
        <w:lastRenderedPageBreak/>
        <w:t>Tabla</w:t>
      </w:r>
      <w:proofErr w:type="spellEnd"/>
      <w:r w:rsidRPr="00D918D3">
        <w:rPr>
          <w:rFonts w:ascii="GalanoGrotesque-Medium" w:hAnsi="GalanoGrotesque-Medium" w:cs="Arial"/>
          <w:b/>
          <w:sz w:val="16"/>
          <w:szCs w:val="16"/>
          <w:lang w:val="en-US"/>
        </w:rPr>
        <w:t xml:space="preserve"> 9.5</w:t>
      </w:r>
    </w:p>
    <w:p w14:paraId="33E048A8" w14:textId="77777777" w:rsidR="00690D16" w:rsidRPr="00D918D3" w:rsidRDefault="00690D16" w:rsidP="00690D16">
      <w:pPr>
        <w:spacing w:after="0" w:line="240" w:lineRule="auto"/>
        <w:jc w:val="center"/>
        <w:rPr>
          <w:rFonts w:ascii="GalanoGrotesque-Medium" w:hAnsi="GalanoGrotesque-Medium" w:cs="Arial"/>
          <w:sz w:val="16"/>
          <w:szCs w:val="16"/>
        </w:rPr>
      </w:pPr>
      <w:r w:rsidRPr="00D918D3">
        <w:rPr>
          <w:rFonts w:ascii="GalanoGrotesque-Medium" w:hAnsi="GalanoGrotesque-Medium" w:cs="Arial"/>
          <w:bCs/>
          <w:sz w:val="16"/>
          <w:szCs w:val="16"/>
          <w:lang w:eastAsia="es-MX"/>
        </w:rPr>
        <w:t>Índice General de avance en PBR_SED 2015</w:t>
      </w:r>
    </w:p>
    <w:p w14:paraId="3E5022CF" w14:textId="379CEBCF" w:rsidR="004F6C40" w:rsidRPr="004F6C40" w:rsidRDefault="00690D16" w:rsidP="00D918D3">
      <w:pPr>
        <w:autoSpaceDE w:val="0"/>
        <w:autoSpaceDN w:val="0"/>
        <w:adjustRightInd w:val="0"/>
        <w:ind w:left="1843" w:hanging="425"/>
        <w:rPr>
          <w:rFonts w:ascii="MyriadPro-Regular" w:hAnsi="MyriadPro-Regular" w:cs="Arial"/>
          <w:sz w:val="16"/>
          <w:szCs w:val="16"/>
        </w:rPr>
      </w:pPr>
      <w:r>
        <w:rPr>
          <w:noProof/>
          <w:lang w:val="es-ES" w:eastAsia="es-ES"/>
        </w:rPr>
        <w:drawing>
          <wp:inline distT="0" distB="0" distL="0" distR="0" wp14:anchorId="43662D9F" wp14:editId="1A0F4323">
            <wp:extent cx="5153025" cy="4685665"/>
            <wp:effectExtent l="0" t="0" r="0" b="0"/>
            <wp:docPr id="4301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165090" cy="4696636"/>
                    </a:xfrm>
                    <a:prstGeom prst="rect">
                      <a:avLst/>
                    </a:prstGeom>
                    <a:noFill/>
                    <a:extLst/>
                  </pic:spPr>
                </pic:pic>
              </a:graphicData>
            </a:graphic>
          </wp:inline>
        </w:drawing>
      </w:r>
      <w:r w:rsidR="004F6C40" w:rsidRPr="004F6C40">
        <w:rPr>
          <w:rFonts w:ascii="MyriadPro-Regular" w:hAnsi="MyriadPro-Regular" w:cs="Arial"/>
          <w:color w:val="000000"/>
          <w:sz w:val="16"/>
          <w:szCs w:val="16"/>
          <w:lang w:eastAsia="es-MX"/>
        </w:rPr>
        <w:t>Fuente: Secretaría de Hacienda y Crédito Público (</w:t>
      </w:r>
      <w:hyperlink r:id="rId89" w:history="1">
        <w:r w:rsidR="004F6C40" w:rsidRPr="004F6C40">
          <w:rPr>
            <w:rStyle w:val="Hipervnculo"/>
            <w:rFonts w:ascii="MyriadPro-Regular" w:hAnsi="MyriadPro-Regular" w:cs="Arial"/>
            <w:sz w:val="16"/>
            <w:szCs w:val="16"/>
            <w:lang w:eastAsia="es-MX"/>
          </w:rPr>
          <w:t>www.shcp.gob.mx</w:t>
        </w:r>
      </w:hyperlink>
      <w:r w:rsidR="004F6C40" w:rsidRPr="004F6C40">
        <w:rPr>
          <w:rFonts w:ascii="MyriadPro-Regular" w:hAnsi="MyriadPro-Regular" w:cs="Arial"/>
          <w:color w:val="000000"/>
          <w:sz w:val="16"/>
          <w:szCs w:val="16"/>
          <w:lang w:eastAsia="es-MX"/>
        </w:rPr>
        <w:t>)</w:t>
      </w:r>
    </w:p>
    <w:p w14:paraId="23542782" w14:textId="77777777" w:rsidR="004F6C40" w:rsidRPr="004F6C40" w:rsidRDefault="004F6C40" w:rsidP="00690D16">
      <w:pPr>
        <w:autoSpaceDE w:val="0"/>
        <w:autoSpaceDN w:val="0"/>
        <w:adjustRightInd w:val="0"/>
        <w:ind w:firstLine="993"/>
        <w:rPr>
          <w:rFonts w:ascii="GalanoGrotesque-Medium" w:hAnsi="GalanoGrotesque-Medium" w:cs="Arial"/>
          <w:color w:val="000000"/>
          <w:sz w:val="20"/>
          <w:szCs w:val="20"/>
          <w:lang w:eastAsia="es-MX"/>
        </w:rPr>
        <w:sectPr w:rsidR="004F6C40" w:rsidRPr="004F6C40" w:rsidSect="00680FD0">
          <w:footnotePr>
            <w:numStart w:val="4"/>
          </w:footnotePr>
          <w:type w:val="continuous"/>
          <w:pgSz w:w="12240" w:h="15840"/>
          <w:pgMar w:top="1418" w:right="1134" w:bottom="1418" w:left="1134" w:header="709" w:footer="709" w:gutter="0"/>
          <w:cols w:space="567"/>
          <w:docGrid w:linePitch="360"/>
        </w:sectPr>
      </w:pPr>
    </w:p>
    <w:p w14:paraId="6E7C6490" w14:textId="77777777" w:rsidR="00624ED2" w:rsidRPr="00D918D3" w:rsidRDefault="00CA2B84" w:rsidP="00D918D3">
      <w:pPr>
        <w:pStyle w:val="Prrafodelista"/>
        <w:numPr>
          <w:ilvl w:val="0"/>
          <w:numId w:val="28"/>
        </w:numPr>
        <w:spacing w:after="240"/>
        <w:ind w:left="426" w:hanging="426"/>
        <w:jc w:val="both"/>
        <w:rPr>
          <w:rFonts w:ascii="GalanoGrotesque-Medium" w:hAnsi="GalanoGrotesque-Medium" w:cs="Arial"/>
          <w:b/>
        </w:rPr>
      </w:pPr>
      <w:r w:rsidRPr="00D918D3">
        <w:rPr>
          <w:rFonts w:ascii="MyriadPro-Bold" w:hAnsi="MyriadPro-Bold" w:cs="MyriadPro-Bold"/>
          <w:b/>
          <w:bCs/>
          <w:color w:val="414142"/>
        </w:rPr>
        <w:lastRenderedPageBreak/>
        <w:t>Hacia dónde vamos</w:t>
      </w:r>
    </w:p>
    <w:p w14:paraId="352AED50" w14:textId="77777777" w:rsidR="00624ED2" w:rsidRPr="00954EE2" w:rsidRDefault="00624ED2" w:rsidP="00624ED2">
      <w:pPr>
        <w:spacing w:after="240"/>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 xml:space="preserve">Esta Administración unirá esfuerzos para colocar a Michoacán en un lugar cercano a la media nacional y establecer las bases para consolidar un gobierno abierto y eficiente con una cultura de transparencia y rendición de cuentas. </w:t>
      </w:r>
    </w:p>
    <w:p w14:paraId="4ADED96C" w14:textId="77777777" w:rsidR="00624ED2" w:rsidRPr="00954EE2" w:rsidRDefault="00624ED2" w:rsidP="00624ED2">
      <w:pPr>
        <w:spacing w:after="240"/>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 xml:space="preserve">Con la estrategia del Gobierno Digital se pretende construir un gobierno abierto y transparente mediante la maximización del uso de las tecnologías de la información y comunicaciones en el funcionamiento de las dependencias y entidades de la Administración </w:t>
      </w:r>
      <w:r w:rsidRPr="00954EE2">
        <w:rPr>
          <w:rFonts w:ascii="MyriadPro-Regular" w:hAnsi="MyriadPro-Regular" w:cs="MyriadPro-Regular"/>
          <w:color w:val="414142"/>
          <w:sz w:val="20"/>
          <w:szCs w:val="20"/>
        </w:rPr>
        <w:lastRenderedPageBreak/>
        <w:t>Pública Estatal. Con ello, se quiere agilizar los trámites que realizan los ciudadanos, coadyuvar a transparentar la función pública, elevar la calidad de los servicios gubernamentales y, en su caso, detectar con oportunidad prácticas de corrupción al interior de las instituciones públicas. Además, con esta estrategia se quiere promover el uso intensivo de sistemas digitales, en especial de Internet, como la herramienta principal de trabajo de las unidades que conforman la Administración.</w:t>
      </w:r>
    </w:p>
    <w:p w14:paraId="6247E963" w14:textId="77777777" w:rsidR="00624ED2" w:rsidRPr="00954EE2" w:rsidRDefault="00624ED2" w:rsidP="00624ED2">
      <w:pPr>
        <w:spacing w:after="240"/>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Para lograr lo anterior se plantean los objetivos, líneas estratégicas y acciones que se muestran en la Tabla 9.6.</w:t>
      </w:r>
    </w:p>
    <w:p w14:paraId="7BD15D0B" w14:textId="77777777" w:rsidR="00624ED2" w:rsidRPr="0027563C" w:rsidRDefault="00624ED2" w:rsidP="00EB4B09">
      <w:pPr>
        <w:autoSpaceDE w:val="0"/>
        <w:autoSpaceDN w:val="0"/>
        <w:adjustRightInd w:val="0"/>
        <w:spacing w:after="0" w:line="240" w:lineRule="auto"/>
        <w:rPr>
          <w:rFonts w:ascii="GalanoGrotesque-Medium" w:eastAsia="Times New Roman" w:hAnsi="GalanoGrotesque-Medium" w:cs="Arial"/>
          <w:color w:val="000000"/>
          <w:sz w:val="20"/>
          <w:szCs w:val="20"/>
          <w:lang w:eastAsia="es-MX"/>
        </w:rPr>
        <w:sectPr w:rsidR="00624ED2" w:rsidRPr="0027563C" w:rsidSect="00624ED2">
          <w:footnotePr>
            <w:numStart w:val="4"/>
          </w:footnotePr>
          <w:type w:val="continuous"/>
          <w:pgSz w:w="12240" w:h="15840"/>
          <w:pgMar w:top="1418" w:right="1134" w:bottom="1418" w:left="1134" w:header="709" w:footer="709" w:gutter="0"/>
          <w:cols w:num="2" w:space="567"/>
          <w:docGrid w:linePitch="360"/>
        </w:sectPr>
      </w:pPr>
    </w:p>
    <w:p w14:paraId="29EB6649" w14:textId="77777777" w:rsidR="00690D16" w:rsidRDefault="00690D16" w:rsidP="00EB4B09">
      <w:pPr>
        <w:spacing w:after="0" w:line="240" w:lineRule="auto"/>
        <w:rPr>
          <w:rFonts w:ascii="GalanoGrotesque-Medium" w:eastAsia="Times New Roman" w:hAnsi="GalanoGrotesque-Medium" w:cs="Arial"/>
          <w:b/>
          <w:sz w:val="24"/>
          <w:szCs w:val="24"/>
          <w:lang w:val="es-ES" w:eastAsia="es-ES"/>
        </w:rPr>
      </w:pPr>
    </w:p>
    <w:p w14:paraId="5C00DC27" w14:textId="77777777" w:rsidR="00F32CC0" w:rsidRDefault="00F32CC0" w:rsidP="00EB4B09">
      <w:pPr>
        <w:spacing w:after="0" w:line="240" w:lineRule="auto"/>
        <w:rPr>
          <w:rFonts w:ascii="GalanoGrotesque-Medium" w:eastAsia="Times New Roman" w:hAnsi="GalanoGrotesque-Medium" w:cs="Arial"/>
          <w:b/>
          <w:sz w:val="24"/>
          <w:szCs w:val="24"/>
          <w:lang w:val="es-ES" w:eastAsia="es-ES"/>
        </w:rPr>
      </w:pPr>
    </w:p>
    <w:p w14:paraId="46BFB897" w14:textId="77777777" w:rsidR="00624ED2" w:rsidRPr="00E6368D" w:rsidRDefault="00624ED2" w:rsidP="00EB4B09">
      <w:pPr>
        <w:spacing w:after="0" w:line="240" w:lineRule="auto"/>
        <w:jc w:val="center"/>
        <w:rPr>
          <w:rFonts w:ascii="GalanoGrotesque-Medium" w:eastAsia="Times New Roman" w:hAnsi="GalanoGrotesque-Medium" w:cs="Arial"/>
          <w:b/>
          <w:sz w:val="16"/>
          <w:szCs w:val="16"/>
          <w:lang w:val="es-ES" w:eastAsia="es-ES"/>
        </w:rPr>
      </w:pPr>
      <w:r w:rsidRPr="00E6368D">
        <w:rPr>
          <w:rFonts w:ascii="GalanoGrotesque-Medium" w:eastAsia="Times New Roman" w:hAnsi="GalanoGrotesque-Medium" w:cs="Arial"/>
          <w:b/>
          <w:sz w:val="16"/>
          <w:szCs w:val="16"/>
          <w:lang w:val="es-ES" w:eastAsia="es-ES"/>
        </w:rPr>
        <w:t>Tabla 9.6</w:t>
      </w:r>
    </w:p>
    <w:p w14:paraId="441949EE" w14:textId="77777777" w:rsidR="00624ED2" w:rsidRPr="00E6368D" w:rsidRDefault="00624ED2" w:rsidP="00624ED2">
      <w:pPr>
        <w:spacing w:after="0" w:line="240" w:lineRule="auto"/>
        <w:jc w:val="center"/>
        <w:rPr>
          <w:rFonts w:ascii="GalanoGrotesque-Medium" w:eastAsia="Times New Roman" w:hAnsi="GalanoGrotesque-Medium" w:cs="Arial"/>
          <w:sz w:val="16"/>
          <w:szCs w:val="16"/>
          <w:lang w:val="es-ES" w:eastAsia="es-ES"/>
        </w:rPr>
      </w:pPr>
      <w:r w:rsidRPr="00E6368D">
        <w:rPr>
          <w:rFonts w:ascii="GalanoGrotesque-Medium" w:eastAsia="Times New Roman" w:hAnsi="GalanoGrotesque-Medium" w:cs="Arial"/>
          <w:sz w:val="16"/>
          <w:szCs w:val="16"/>
          <w:lang w:val="es-ES" w:eastAsia="es-ES"/>
        </w:rPr>
        <w:t>Objetivos, Líneas Estratégicas y Acciones</w:t>
      </w:r>
    </w:p>
    <w:p w14:paraId="1935F778" w14:textId="7207FDB5" w:rsidR="00EB4B09" w:rsidRPr="00624ED2" w:rsidRDefault="00EB4B09" w:rsidP="00624ED2">
      <w:pPr>
        <w:spacing w:after="0" w:line="240" w:lineRule="auto"/>
        <w:jc w:val="center"/>
        <w:rPr>
          <w:rFonts w:ascii="GalanoGrotesque-Medium" w:eastAsia="Times New Roman" w:hAnsi="GalanoGrotesque-Medium" w:cs="Arial"/>
          <w:b/>
          <w:sz w:val="24"/>
          <w:szCs w:val="24"/>
          <w:lang w:val="es-ES" w:eastAsia="es-ES"/>
        </w:rPr>
      </w:pPr>
    </w:p>
    <w:tbl>
      <w:tblPr>
        <w:tblStyle w:val="Tablaconcuadrcula"/>
        <w:tblW w:w="9072" w:type="dxa"/>
        <w:jc w:val="center"/>
        <w:tblLook w:val="04A0" w:firstRow="1" w:lastRow="0" w:firstColumn="1" w:lastColumn="0" w:noHBand="0" w:noVBand="1"/>
      </w:tblPr>
      <w:tblGrid>
        <w:gridCol w:w="9072"/>
      </w:tblGrid>
      <w:tr w:rsidR="00624ED2" w:rsidRPr="00EB4B09" w14:paraId="721C415A" w14:textId="77777777" w:rsidTr="00EB4B09">
        <w:trPr>
          <w:jc w:val="center"/>
        </w:trPr>
        <w:tc>
          <w:tcPr>
            <w:tcW w:w="9072" w:type="dxa"/>
            <w:shd w:val="clear" w:color="auto" w:fill="CD091C"/>
          </w:tcPr>
          <w:p w14:paraId="46637F6D" w14:textId="77777777" w:rsidR="00624ED2" w:rsidRPr="00EB4B09" w:rsidRDefault="00624ED2" w:rsidP="00624ED2">
            <w:pPr>
              <w:rPr>
                <w:rFonts w:ascii="MyriadPro-Regular" w:hAnsi="MyriadPro-Regular"/>
                <w:b/>
                <w:color w:val="FFFFFF" w:themeColor="background1"/>
                <w:lang w:val="es-ES" w:eastAsia="es-ES"/>
              </w:rPr>
            </w:pPr>
            <w:r w:rsidRPr="00EB4B09">
              <w:rPr>
                <w:rFonts w:ascii="MyriadPro-Regular" w:hAnsi="MyriadPro-Regular"/>
                <w:b/>
                <w:lang w:val="es-ES" w:eastAsia="es-ES"/>
              </w:rPr>
              <w:br w:type="page"/>
            </w:r>
            <w:r w:rsidRPr="00EB4B09">
              <w:rPr>
                <w:rFonts w:ascii="MyriadPro-Regular" w:hAnsi="MyriadPro-Regular"/>
                <w:b/>
                <w:color w:val="FFFFFF" w:themeColor="background1"/>
                <w:lang w:val="es-ES" w:eastAsia="es-ES"/>
              </w:rPr>
              <w:t>Prioridad 9: Rendición de Cuentas, Transparencia y Gobierno Digital.</w:t>
            </w:r>
          </w:p>
        </w:tc>
      </w:tr>
      <w:tr w:rsidR="00624ED2" w:rsidRPr="00EB4B09" w14:paraId="51C7A7E4" w14:textId="77777777" w:rsidTr="00EB4B09">
        <w:trPr>
          <w:jc w:val="center"/>
        </w:trPr>
        <w:tc>
          <w:tcPr>
            <w:tcW w:w="9072" w:type="dxa"/>
            <w:shd w:val="clear" w:color="auto" w:fill="CD091C"/>
          </w:tcPr>
          <w:p w14:paraId="410401D9" w14:textId="77777777"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Objetivo</w:t>
            </w:r>
          </w:p>
        </w:tc>
      </w:tr>
      <w:tr w:rsidR="00624ED2" w:rsidRPr="00EB4B09" w14:paraId="29EBAFCA" w14:textId="77777777" w:rsidTr="00EB4B09">
        <w:trPr>
          <w:jc w:val="center"/>
        </w:trPr>
        <w:tc>
          <w:tcPr>
            <w:tcW w:w="9072" w:type="dxa"/>
            <w:shd w:val="clear" w:color="auto" w:fill="auto"/>
          </w:tcPr>
          <w:p w14:paraId="7380A94C" w14:textId="77777777" w:rsidR="00624ED2" w:rsidRPr="00EB4B09" w:rsidRDefault="00624ED2" w:rsidP="00624ED2">
            <w:pPr>
              <w:ind w:left="346" w:hanging="346"/>
              <w:jc w:val="both"/>
              <w:rPr>
                <w:rFonts w:ascii="MyriadPro-Regular" w:hAnsi="MyriadPro-Regular"/>
                <w:lang w:val="es-ES" w:eastAsia="es-ES"/>
              </w:rPr>
            </w:pPr>
            <w:r w:rsidRPr="00EB4B09">
              <w:rPr>
                <w:rFonts w:ascii="MyriadPro-Regular" w:hAnsi="MyriadPro-Regular"/>
                <w:lang w:val="es-ES" w:eastAsia="es-ES"/>
              </w:rPr>
              <w:t>9.1 Digitalizar y poner a la disposición la información pública, facilitando su acceso y consulta para fortalecer una cultura de transparencia y rendición de cuentas.</w:t>
            </w:r>
          </w:p>
        </w:tc>
      </w:tr>
      <w:tr w:rsidR="00624ED2" w:rsidRPr="00EB4B09" w14:paraId="568B8093" w14:textId="77777777" w:rsidTr="00EB4B09">
        <w:trPr>
          <w:jc w:val="center"/>
        </w:trPr>
        <w:tc>
          <w:tcPr>
            <w:tcW w:w="9072" w:type="dxa"/>
            <w:shd w:val="clear" w:color="auto" w:fill="CD091C"/>
          </w:tcPr>
          <w:p w14:paraId="51C39081" w14:textId="77777777"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Línea estratégica</w:t>
            </w:r>
          </w:p>
        </w:tc>
      </w:tr>
      <w:tr w:rsidR="00624ED2" w:rsidRPr="00EB4B09" w14:paraId="17124379" w14:textId="77777777" w:rsidTr="00EB4B09">
        <w:trPr>
          <w:jc w:val="center"/>
        </w:trPr>
        <w:tc>
          <w:tcPr>
            <w:tcW w:w="9072" w:type="dxa"/>
            <w:shd w:val="clear" w:color="auto" w:fill="auto"/>
          </w:tcPr>
          <w:p w14:paraId="40D06DD4" w14:textId="77777777" w:rsidR="00624ED2" w:rsidRPr="00EB4B09" w:rsidRDefault="00624ED2" w:rsidP="00624ED2">
            <w:pPr>
              <w:ind w:left="487"/>
              <w:rPr>
                <w:rFonts w:ascii="MyriadPro-Regular" w:hAnsi="MyriadPro-Regular"/>
                <w:lang w:val="es-ES" w:eastAsia="es-ES"/>
              </w:rPr>
            </w:pPr>
            <w:r w:rsidRPr="00EB4B09">
              <w:rPr>
                <w:rFonts w:ascii="MyriadPro-Regular" w:hAnsi="MyriadPro-Regular"/>
                <w:lang w:val="es-ES" w:eastAsia="es-ES"/>
              </w:rPr>
              <w:t>9.1.1 Construir un Gobierno Abierto.</w:t>
            </w:r>
          </w:p>
        </w:tc>
      </w:tr>
      <w:tr w:rsidR="00624ED2" w:rsidRPr="00EB4B09" w14:paraId="1E6633E1" w14:textId="77777777" w:rsidTr="00EB4B09">
        <w:trPr>
          <w:jc w:val="center"/>
        </w:trPr>
        <w:tc>
          <w:tcPr>
            <w:tcW w:w="9072" w:type="dxa"/>
            <w:shd w:val="clear" w:color="auto" w:fill="CD091C"/>
          </w:tcPr>
          <w:p w14:paraId="32B32A30" w14:textId="77777777" w:rsidR="00624ED2" w:rsidRPr="00EB4B09" w:rsidRDefault="00624ED2" w:rsidP="00624ED2">
            <w:pPr>
              <w:rPr>
                <w:rFonts w:ascii="MyriadPro-Regular" w:hAnsi="MyriadPro-Regular"/>
                <w:color w:val="FFFFFF" w:themeColor="background1"/>
                <w:lang w:val="es-ES" w:eastAsia="es-ES"/>
              </w:rPr>
            </w:pPr>
            <w:r w:rsidRPr="00EB4B09" w:rsidDel="00F56137">
              <w:rPr>
                <w:rFonts w:ascii="MyriadPro-Regular" w:hAnsi="MyriadPro-Regular"/>
                <w:b/>
                <w:color w:val="FFFFFF" w:themeColor="background1"/>
                <w:lang w:val="es-ES" w:eastAsia="es-ES"/>
              </w:rPr>
              <w:t>Acciones</w:t>
            </w:r>
          </w:p>
        </w:tc>
      </w:tr>
      <w:tr w:rsidR="00624ED2" w:rsidRPr="00EB4B09" w14:paraId="3EEF6BAF" w14:textId="77777777" w:rsidTr="00EB4B09">
        <w:trPr>
          <w:jc w:val="center"/>
        </w:trPr>
        <w:tc>
          <w:tcPr>
            <w:tcW w:w="9072" w:type="dxa"/>
            <w:shd w:val="clear" w:color="auto" w:fill="auto"/>
          </w:tcPr>
          <w:p w14:paraId="51E0FA4E" w14:textId="77777777" w:rsidR="00624ED2" w:rsidRPr="00EB4B09" w:rsidRDefault="00624ED2" w:rsidP="00624ED2">
            <w:pPr>
              <w:ind w:left="2019" w:hanging="850"/>
              <w:contextualSpacing/>
              <w:jc w:val="both"/>
              <w:rPr>
                <w:rFonts w:ascii="MyriadPro-Regular" w:hAnsi="MyriadPro-Regular"/>
                <w:lang w:val="es-ES" w:eastAsia="es-ES"/>
              </w:rPr>
            </w:pPr>
            <w:r w:rsidRPr="00EB4B09">
              <w:rPr>
                <w:rFonts w:ascii="MyriadPro-Regular" w:hAnsi="MyriadPro-Regular"/>
                <w:lang w:val="es-ES" w:eastAsia="es-ES"/>
              </w:rPr>
              <w:t>9.1.1.1 Construir la plataforma estatal de transparencia y hacerla accesible a los ciudadanos.</w:t>
            </w:r>
          </w:p>
        </w:tc>
      </w:tr>
      <w:tr w:rsidR="00624ED2" w:rsidRPr="00EB4B09" w14:paraId="4853C493" w14:textId="77777777" w:rsidTr="00EB4B09">
        <w:trPr>
          <w:jc w:val="center"/>
        </w:trPr>
        <w:tc>
          <w:tcPr>
            <w:tcW w:w="9072" w:type="dxa"/>
            <w:shd w:val="clear" w:color="auto" w:fill="auto"/>
          </w:tcPr>
          <w:p w14:paraId="02030141" w14:textId="77777777" w:rsidR="00624ED2" w:rsidRPr="00EB4B09" w:rsidRDefault="00624ED2" w:rsidP="00624ED2">
            <w:pPr>
              <w:ind w:left="2019" w:hanging="850"/>
              <w:contextualSpacing/>
              <w:jc w:val="both"/>
              <w:rPr>
                <w:rFonts w:ascii="MyriadPro-Regular" w:hAnsi="MyriadPro-Regular"/>
                <w:lang w:val="es-ES" w:eastAsia="es-ES"/>
              </w:rPr>
            </w:pPr>
            <w:r w:rsidRPr="00EB4B09">
              <w:rPr>
                <w:rFonts w:ascii="MyriadPro-Regular" w:hAnsi="MyriadPro-Regular"/>
                <w:lang w:val="es-ES" w:eastAsia="es-ES"/>
              </w:rPr>
              <w:t>9.1.1.2 Fortalecer el padrón único de beneficiarios de gobierno y archivo estatal digital.</w:t>
            </w:r>
          </w:p>
        </w:tc>
      </w:tr>
      <w:tr w:rsidR="00624ED2" w:rsidRPr="00EB4B09" w14:paraId="0002E6D3" w14:textId="77777777" w:rsidTr="00EB4B09">
        <w:trPr>
          <w:jc w:val="center"/>
        </w:trPr>
        <w:tc>
          <w:tcPr>
            <w:tcW w:w="9072" w:type="dxa"/>
            <w:shd w:val="clear" w:color="auto" w:fill="CD091C"/>
          </w:tcPr>
          <w:p w14:paraId="50A90A74" w14:textId="77777777"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Línea estratégica</w:t>
            </w:r>
          </w:p>
        </w:tc>
      </w:tr>
      <w:tr w:rsidR="00624ED2" w:rsidRPr="00EB4B09" w14:paraId="4FB0F50C" w14:textId="77777777" w:rsidTr="00EB4B09">
        <w:trPr>
          <w:jc w:val="center"/>
        </w:trPr>
        <w:tc>
          <w:tcPr>
            <w:tcW w:w="9072" w:type="dxa"/>
            <w:shd w:val="clear" w:color="auto" w:fill="auto"/>
          </w:tcPr>
          <w:p w14:paraId="0A5DE899" w14:textId="77777777" w:rsidR="00624ED2" w:rsidRPr="00EB4B09" w:rsidRDefault="00624ED2" w:rsidP="00624ED2">
            <w:pPr>
              <w:ind w:left="487"/>
              <w:rPr>
                <w:rFonts w:ascii="MyriadPro-Regular" w:hAnsi="MyriadPro-Regular"/>
                <w:lang w:val="es-ES" w:eastAsia="es-ES"/>
              </w:rPr>
            </w:pPr>
            <w:r w:rsidRPr="00EB4B09">
              <w:rPr>
                <w:rFonts w:ascii="MyriadPro-Regular" w:hAnsi="MyriadPro-Regular"/>
                <w:lang w:val="es-ES" w:eastAsia="es-ES"/>
              </w:rPr>
              <w:t>9.1.2. Evaluar para lograr mejores resultados.</w:t>
            </w:r>
          </w:p>
        </w:tc>
      </w:tr>
      <w:tr w:rsidR="00624ED2" w:rsidRPr="00EB4B09" w14:paraId="1F117F46" w14:textId="77777777" w:rsidTr="00EB4B09">
        <w:trPr>
          <w:jc w:val="center"/>
        </w:trPr>
        <w:tc>
          <w:tcPr>
            <w:tcW w:w="9072" w:type="dxa"/>
            <w:shd w:val="clear" w:color="auto" w:fill="CD091C"/>
          </w:tcPr>
          <w:p w14:paraId="52B5AF43" w14:textId="77777777" w:rsidR="00624ED2" w:rsidRPr="00EB4B09" w:rsidRDefault="00624ED2" w:rsidP="00624ED2">
            <w:pPr>
              <w:rPr>
                <w:rFonts w:ascii="MyriadPro-Regular" w:hAnsi="MyriadPro-Regular"/>
                <w:color w:val="FFFFFF" w:themeColor="background1"/>
                <w:lang w:val="es-ES" w:eastAsia="es-ES"/>
              </w:rPr>
            </w:pPr>
            <w:r w:rsidRPr="00EB4B09" w:rsidDel="00F56137">
              <w:rPr>
                <w:rFonts w:ascii="MyriadPro-Regular" w:hAnsi="MyriadPro-Regular"/>
                <w:b/>
                <w:color w:val="FFFFFF" w:themeColor="background1"/>
                <w:lang w:val="es-ES" w:eastAsia="es-ES"/>
              </w:rPr>
              <w:t>Acciones</w:t>
            </w:r>
          </w:p>
        </w:tc>
      </w:tr>
      <w:tr w:rsidR="00624ED2" w:rsidRPr="00EB4B09" w14:paraId="768EC22E" w14:textId="77777777" w:rsidTr="00EB4B09">
        <w:trPr>
          <w:jc w:val="center"/>
        </w:trPr>
        <w:tc>
          <w:tcPr>
            <w:tcW w:w="9072" w:type="dxa"/>
            <w:shd w:val="clear" w:color="auto" w:fill="auto"/>
          </w:tcPr>
          <w:p w14:paraId="7D4C636A" w14:textId="77777777" w:rsidR="00624ED2" w:rsidRPr="00EB4B09" w:rsidRDefault="00624ED2" w:rsidP="00624ED2">
            <w:pPr>
              <w:ind w:left="2019" w:hanging="850"/>
              <w:contextualSpacing/>
              <w:jc w:val="both"/>
              <w:rPr>
                <w:rFonts w:ascii="MyriadPro-Regular" w:hAnsi="MyriadPro-Regular"/>
                <w:lang w:val="es-ES" w:eastAsia="es-ES"/>
              </w:rPr>
            </w:pPr>
            <w:r w:rsidRPr="00EB4B09">
              <w:rPr>
                <w:rFonts w:ascii="MyriadPro-Regular" w:hAnsi="MyriadPro-Regular"/>
                <w:lang w:val="es-ES" w:eastAsia="es-ES"/>
              </w:rPr>
              <w:t>9.1.2.1 Publicar el comportamiento de los indicadores de desempeño institucional y de resultados de la gestión pública.</w:t>
            </w:r>
          </w:p>
        </w:tc>
      </w:tr>
      <w:tr w:rsidR="00624ED2" w:rsidRPr="00EB4B09" w14:paraId="1D27D90D" w14:textId="77777777" w:rsidTr="00EB4B09">
        <w:trPr>
          <w:jc w:val="center"/>
        </w:trPr>
        <w:tc>
          <w:tcPr>
            <w:tcW w:w="9072" w:type="dxa"/>
            <w:shd w:val="clear" w:color="auto" w:fill="auto"/>
          </w:tcPr>
          <w:p w14:paraId="5DBC5579" w14:textId="77777777" w:rsidR="00624ED2" w:rsidRPr="00EB4B09" w:rsidRDefault="00624ED2" w:rsidP="00624ED2">
            <w:pPr>
              <w:ind w:left="2019" w:hanging="850"/>
              <w:contextualSpacing/>
              <w:jc w:val="both"/>
              <w:rPr>
                <w:rFonts w:ascii="MyriadPro-Regular" w:hAnsi="MyriadPro-Regular"/>
                <w:lang w:val="es-ES" w:eastAsia="es-ES"/>
              </w:rPr>
            </w:pPr>
            <w:r w:rsidRPr="00EB4B09">
              <w:rPr>
                <w:rFonts w:ascii="MyriadPro-Regular" w:hAnsi="MyriadPro-Regular"/>
                <w:lang w:val="es-ES" w:eastAsia="es-ES"/>
              </w:rPr>
              <w:t>9.1.2.2 Planear y dar seguimiento a la asignación y administración de los recursos públicos.</w:t>
            </w:r>
          </w:p>
        </w:tc>
      </w:tr>
      <w:tr w:rsidR="00624ED2" w:rsidRPr="00EB4B09" w14:paraId="5696D683" w14:textId="77777777" w:rsidTr="00EB4B09">
        <w:trPr>
          <w:jc w:val="center"/>
        </w:trPr>
        <w:tc>
          <w:tcPr>
            <w:tcW w:w="9072" w:type="dxa"/>
            <w:shd w:val="clear" w:color="auto" w:fill="auto"/>
          </w:tcPr>
          <w:p w14:paraId="1CBE9640" w14:textId="77777777" w:rsidR="00624ED2" w:rsidRPr="00EB4B09" w:rsidRDefault="00624ED2" w:rsidP="00624ED2">
            <w:pPr>
              <w:ind w:left="2019" w:hanging="850"/>
              <w:contextualSpacing/>
              <w:jc w:val="both"/>
              <w:rPr>
                <w:rFonts w:ascii="MyriadPro-Regular" w:hAnsi="MyriadPro-Regular"/>
                <w:lang w:val="es-ES" w:eastAsia="es-ES"/>
              </w:rPr>
            </w:pPr>
            <w:r w:rsidRPr="00EB4B09">
              <w:rPr>
                <w:rFonts w:ascii="MyriadPro-Regular" w:hAnsi="MyriadPro-Regular"/>
                <w:lang w:val="es-ES" w:eastAsia="es-ES"/>
              </w:rPr>
              <w:t>9.1.2.3 Fortalecer la campaña "Cero Tolerancia A LA CORRUPCIÓN".</w:t>
            </w:r>
          </w:p>
        </w:tc>
      </w:tr>
      <w:tr w:rsidR="00624ED2" w:rsidRPr="00EB4B09" w14:paraId="4BCB94CB" w14:textId="77777777" w:rsidTr="00EB4B09">
        <w:trPr>
          <w:jc w:val="center"/>
        </w:trPr>
        <w:tc>
          <w:tcPr>
            <w:tcW w:w="9072" w:type="dxa"/>
            <w:shd w:val="clear" w:color="auto" w:fill="CD091C"/>
          </w:tcPr>
          <w:p w14:paraId="73B04172" w14:textId="77777777"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Objetivo</w:t>
            </w:r>
          </w:p>
        </w:tc>
      </w:tr>
      <w:tr w:rsidR="00624ED2" w:rsidRPr="00EB4B09" w14:paraId="240EB051" w14:textId="77777777" w:rsidTr="00EB4B09">
        <w:trPr>
          <w:jc w:val="center"/>
        </w:trPr>
        <w:tc>
          <w:tcPr>
            <w:tcW w:w="9072" w:type="dxa"/>
            <w:shd w:val="clear" w:color="auto" w:fill="auto"/>
          </w:tcPr>
          <w:p w14:paraId="5C181C9E" w14:textId="77777777" w:rsidR="00624ED2" w:rsidRPr="00EB4B09" w:rsidRDefault="00624ED2" w:rsidP="00624ED2">
            <w:pPr>
              <w:ind w:left="346" w:hanging="346"/>
              <w:jc w:val="both"/>
              <w:rPr>
                <w:rFonts w:ascii="MyriadPro-Regular" w:hAnsi="MyriadPro-Regular"/>
                <w:lang w:val="es-ES" w:eastAsia="es-ES"/>
              </w:rPr>
            </w:pPr>
            <w:r w:rsidRPr="00EB4B09">
              <w:rPr>
                <w:rFonts w:ascii="MyriadPro-Regular" w:hAnsi="MyriadPro-Regular"/>
                <w:lang w:val="es-ES" w:eastAsia="es-ES"/>
              </w:rPr>
              <w:t>9.2 Transparentar la asignación y el uso de los recursos de cada uno de los programas de gobierno, para dar certidumbre en la eficiencia del gasto público.</w:t>
            </w:r>
          </w:p>
        </w:tc>
      </w:tr>
      <w:tr w:rsidR="00624ED2" w:rsidRPr="00EB4B09" w14:paraId="1E7C2F09" w14:textId="77777777" w:rsidTr="00EB4B09">
        <w:trPr>
          <w:jc w:val="center"/>
        </w:trPr>
        <w:tc>
          <w:tcPr>
            <w:tcW w:w="9072" w:type="dxa"/>
            <w:shd w:val="clear" w:color="auto" w:fill="CD091C"/>
          </w:tcPr>
          <w:p w14:paraId="628EE1E0" w14:textId="77777777"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Línea estratégica</w:t>
            </w:r>
          </w:p>
        </w:tc>
      </w:tr>
      <w:tr w:rsidR="00624ED2" w:rsidRPr="00EB4B09" w14:paraId="36115F1C" w14:textId="77777777" w:rsidTr="00EB4B09">
        <w:trPr>
          <w:jc w:val="center"/>
        </w:trPr>
        <w:tc>
          <w:tcPr>
            <w:tcW w:w="9072" w:type="dxa"/>
            <w:shd w:val="clear" w:color="auto" w:fill="auto"/>
          </w:tcPr>
          <w:p w14:paraId="1D252BE3" w14:textId="77777777" w:rsidR="00624ED2" w:rsidRPr="00EB4B09" w:rsidRDefault="00624ED2" w:rsidP="00624ED2">
            <w:pPr>
              <w:ind w:left="487"/>
              <w:rPr>
                <w:rFonts w:ascii="MyriadPro-Regular" w:hAnsi="MyriadPro-Regular"/>
                <w:lang w:val="es-ES" w:eastAsia="es-ES"/>
              </w:rPr>
            </w:pPr>
            <w:r w:rsidRPr="00EB4B09">
              <w:rPr>
                <w:rFonts w:ascii="MyriadPro-Regular" w:hAnsi="MyriadPro-Regular"/>
                <w:lang w:val="es-ES" w:eastAsia="es-ES"/>
              </w:rPr>
              <w:t xml:space="preserve">9.2.1 Detonar la participación ciudadana. </w:t>
            </w:r>
          </w:p>
        </w:tc>
      </w:tr>
      <w:tr w:rsidR="00624ED2" w:rsidRPr="00EB4B09" w14:paraId="1D6BD32E" w14:textId="77777777" w:rsidTr="00EB4B09">
        <w:trPr>
          <w:jc w:val="center"/>
        </w:trPr>
        <w:tc>
          <w:tcPr>
            <w:tcW w:w="9072" w:type="dxa"/>
            <w:shd w:val="clear" w:color="auto" w:fill="CD091C"/>
          </w:tcPr>
          <w:p w14:paraId="537A7F20" w14:textId="77777777" w:rsidR="00624ED2" w:rsidRPr="00EB4B09" w:rsidRDefault="00624ED2" w:rsidP="00624ED2">
            <w:pPr>
              <w:rPr>
                <w:rFonts w:ascii="MyriadPro-Regular" w:hAnsi="MyriadPro-Regular"/>
                <w:color w:val="FFFFFF" w:themeColor="background1"/>
                <w:lang w:val="es-ES" w:eastAsia="es-ES"/>
              </w:rPr>
            </w:pPr>
            <w:r w:rsidRPr="00EB4B09" w:rsidDel="00F56137">
              <w:rPr>
                <w:rFonts w:ascii="MyriadPro-Regular" w:hAnsi="MyriadPro-Regular"/>
                <w:b/>
                <w:color w:val="FFFFFF" w:themeColor="background1"/>
                <w:lang w:val="es-ES" w:eastAsia="es-ES"/>
              </w:rPr>
              <w:t>Acciones</w:t>
            </w:r>
          </w:p>
        </w:tc>
      </w:tr>
      <w:tr w:rsidR="00624ED2" w:rsidRPr="00EB4B09" w14:paraId="7F92F3AB" w14:textId="77777777" w:rsidTr="00EB4B09">
        <w:trPr>
          <w:jc w:val="center"/>
        </w:trPr>
        <w:tc>
          <w:tcPr>
            <w:tcW w:w="9072" w:type="dxa"/>
            <w:shd w:val="clear" w:color="auto" w:fill="auto"/>
          </w:tcPr>
          <w:p w14:paraId="4C915C69" w14:textId="77777777" w:rsidR="00624ED2" w:rsidRPr="00EB4B09" w:rsidRDefault="00624ED2" w:rsidP="00624ED2">
            <w:pPr>
              <w:tabs>
                <w:tab w:val="left" w:pos="2019"/>
              </w:tabs>
              <w:ind w:left="2019" w:hanging="850"/>
              <w:jc w:val="both"/>
              <w:rPr>
                <w:rFonts w:ascii="MyriadPro-Regular" w:hAnsi="MyriadPro-Regular"/>
                <w:lang w:val="es-ES" w:eastAsia="es-ES"/>
              </w:rPr>
            </w:pPr>
            <w:r w:rsidRPr="00EB4B09">
              <w:rPr>
                <w:rFonts w:ascii="MyriadPro-Regular" w:hAnsi="MyriadPro-Regular"/>
                <w:lang w:val="es-ES" w:eastAsia="es-ES"/>
              </w:rPr>
              <w:t>9.2.1.1 Implementar un modelo de gobernanza social en transparencia y rendición de cuentas.</w:t>
            </w:r>
          </w:p>
        </w:tc>
      </w:tr>
      <w:tr w:rsidR="00624ED2" w:rsidRPr="00EB4B09" w14:paraId="293326B1" w14:textId="77777777" w:rsidTr="00EB4B09">
        <w:trPr>
          <w:jc w:val="center"/>
        </w:trPr>
        <w:tc>
          <w:tcPr>
            <w:tcW w:w="9072" w:type="dxa"/>
            <w:shd w:val="clear" w:color="auto" w:fill="auto"/>
          </w:tcPr>
          <w:p w14:paraId="439AEAEC" w14:textId="77777777" w:rsidR="00624ED2" w:rsidRPr="00EB4B09" w:rsidRDefault="00624ED2" w:rsidP="00624ED2">
            <w:pPr>
              <w:tabs>
                <w:tab w:val="left" w:pos="2019"/>
              </w:tabs>
              <w:ind w:left="1169"/>
              <w:contextualSpacing/>
              <w:jc w:val="both"/>
              <w:rPr>
                <w:rFonts w:ascii="MyriadPro-Regular" w:hAnsi="MyriadPro-Regular"/>
                <w:lang w:val="es-ES" w:eastAsia="es-ES"/>
              </w:rPr>
            </w:pPr>
            <w:r w:rsidRPr="00EB4B09">
              <w:rPr>
                <w:rFonts w:ascii="MyriadPro-Regular" w:hAnsi="MyriadPro-Regular"/>
                <w:lang w:val="es-ES" w:eastAsia="es-ES"/>
              </w:rPr>
              <w:t>9.2.1.2 Fortalecer las contralorías sociales.</w:t>
            </w:r>
          </w:p>
        </w:tc>
      </w:tr>
      <w:tr w:rsidR="00624ED2" w:rsidRPr="00EB4B09" w14:paraId="46EB0BD8" w14:textId="77777777" w:rsidTr="00EB4B09">
        <w:trPr>
          <w:jc w:val="center"/>
        </w:trPr>
        <w:tc>
          <w:tcPr>
            <w:tcW w:w="9072" w:type="dxa"/>
            <w:shd w:val="clear" w:color="auto" w:fill="auto"/>
          </w:tcPr>
          <w:p w14:paraId="2A602EAA" w14:textId="77777777" w:rsidR="00624ED2" w:rsidRPr="00EB4B09" w:rsidRDefault="00624ED2" w:rsidP="00624ED2">
            <w:pPr>
              <w:tabs>
                <w:tab w:val="left" w:pos="2019"/>
              </w:tabs>
              <w:ind w:left="1169"/>
              <w:contextualSpacing/>
              <w:jc w:val="both"/>
              <w:rPr>
                <w:rFonts w:ascii="MyriadPro-Regular" w:hAnsi="MyriadPro-Regular"/>
                <w:lang w:val="es-ES" w:eastAsia="es-ES"/>
              </w:rPr>
            </w:pPr>
            <w:r w:rsidRPr="00EB4B09">
              <w:rPr>
                <w:rFonts w:ascii="MyriadPro-Regular" w:hAnsi="MyriadPro-Regular"/>
                <w:lang w:val="es-ES" w:eastAsia="es-ES"/>
              </w:rPr>
              <w:t>9.2.1.3 Facilitar la denuncia ciudadana en actos de corrupción.</w:t>
            </w:r>
          </w:p>
        </w:tc>
      </w:tr>
      <w:tr w:rsidR="00624ED2" w:rsidRPr="00EB4B09" w14:paraId="1CDC73BA" w14:textId="77777777" w:rsidTr="00EB4B09">
        <w:trPr>
          <w:jc w:val="center"/>
        </w:trPr>
        <w:tc>
          <w:tcPr>
            <w:tcW w:w="9072" w:type="dxa"/>
            <w:shd w:val="clear" w:color="auto" w:fill="CD091C"/>
          </w:tcPr>
          <w:p w14:paraId="42324060" w14:textId="77777777"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Línea estratégica</w:t>
            </w:r>
          </w:p>
        </w:tc>
      </w:tr>
      <w:tr w:rsidR="00624ED2" w:rsidRPr="00EB4B09" w14:paraId="358CF0AE" w14:textId="77777777" w:rsidTr="00EB4B09">
        <w:trPr>
          <w:jc w:val="center"/>
        </w:trPr>
        <w:tc>
          <w:tcPr>
            <w:tcW w:w="9072" w:type="dxa"/>
            <w:shd w:val="clear" w:color="auto" w:fill="auto"/>
          </w:tcPr>
          <w:p w14:paraId="505059AC" w14:textId="77777777" w:rsidR="00624ED2" w:rsidRPr="00EB4B09" w:rsidRDefault="00624ED2" w:rsidP="00624ED2">
            <w:pPr>
              <w:ind w:left="487"/>
              <w:rPr>
                <w:rFonts w:ascii="MyriadPro-Regular" w:hAnsi="MyriadPro-Regular"/>
                <w:lang w:val="es-ES" w:eastAsia="es-ES"/>
              </w:rPr>
            </w:pPr>
            <w:r w:rsidRPr="00EB4B09">
              <w:rPr>
                <w:rFonts w:ascii="MyriadPro-Regular" w:hAnsi="MyriadPro-Regular"/>
                <w:lang w:val="es-ES" w:eastAsia="es-ES"/>
              </w:rPr>
              <w:t>9.2.2. Profesionalizar para administrar con calidad.</w:t>
            </w:r>
          </w:p>
        </w:tc>
      </w:tr>
      <w:tr w:rsidR="00624ED2" w:rsidRPr="00EB4B09" w14:paraId="657ECCD2" w14:textId="77777777" w:rsidTr="00EB4B09">
        <w:trPr>
          <w:jc w:val="center"/>
        </w:trPr>
        <w:tc>
          <w:tcPr>
            <w:tcW w:w="9072" w:type="dxa"/>
            <w:shd w:val="clear" w:color="auto" w:fill="CD091C"/>
          </w:tcPr>
          <w:p w14:paraId="7AFA0AD7" w14:textId="77777777" w:rsidR="00624ED2" w:rsidRPr="00EB4B09" w:rsidRDefault="00624ED2" w:rsidP="00624ED2">
            <w:pPr>
              <w:rPr>
                <w:rFonts w:ascii="MyriadPro-Regular" w:hAnsi="MyriadPro-Regular"/>
                <w:color w:val="FFFFFF" w:themeColor="background1"/>
                <w:lang w:val="es-ES" w:eastAsia="es-ES"/>
              </w:rPr>
            </w:pPr>
            <w:r w:rsidRPr="00EB4B09" w:rsidDel="00F56137">
              <w:rPr>
                <w:rFonts w:ascii="MyriadPro-Regular" w:hAnsi="MyriadPro-Regular"/>
                <w:b/>
                <w:color w:val="FFFFFF" w:themeColor="background1"/>
                <w:lang w:val="es-ES" w:eastAsia="es-ES"/>
              </w:rPr>
              <w:t>Acciones</w:t>
            </w:r>
          </w:p>
        </w:tc>
      </w:tr>
      <w:tr w:rsidR="00624ED2" w:rsidRPr="00EB4B09" w14:paraId="100BB375" w14:textId="77777777" w:rsidTr="00EB4B09">
        <w:trPr>
          <w:jc w:val="center"/>
        </w:trPr>
        <w:tc>
          <w:tcPr>
            <w:tcW w:w="9072" w:type="dxa"/>
            <w:shd w:val="clear" w:color="auto" w:fill="auto"/>
          </w:tcPr>
          <w:p w14:paraId="4C8471B9" w14:textId="77777777" w:rsidR="00624ED2" w:rsidRPr="00EB4B09" w:rsidRDefault="00624ED2" w:rsidP="00624ED2">
            <w:pPr>
              <w:tabs>
                <w:tab w:val="left" w:pos="758"/>
              </w:tabs>
              <w:ind w:left="2019" w:hanging="850"/>
              <w:contextualSpacing/>
              <w:jc w:val="both"/>
              <w:rPr>
                <w:rFonts w:ascii="MyriadPro-Regular" w:hAnsi="MyriadPro-Regular"/>
                <w:lang w:val="es-ES" w:eastAsia="es-ES"/>
              </w:rPr>
            </w:pPr>
            <w:r w:rsidRPr="00EB4B09">
              <w:rPr>
                <w:rFonts w:ascii="MyriadPro-Regular" w:hAnsi="MyriadPro-Regular"/>
                <w:lang w:val="es-ES" w:eastAsia="es-ES"/>
              </w:rPr>
              <w:t>9.2.2.1 Capacitar y especializar en forma permanente a los servidores públicos, con el objetivo de profesionalizarlos y fortalecer su ética.</w:t>
            </w:r>
          </w:p>
        </w:tc>
      </w:tr>
      <w:tr w:rsidR="00624ED2" w:rsidRPr="00EB4B09" w14:paraId="3A4F33FA" w14:textId="77777777" w:rsidTr="00EB4B09">
        <w:trPr>
          <w:jc w:val="center"/>
        </w:trPr>
        <w:tc>
          <w:tcPr>
            <w:tcW w:w="9072" w:type="dxa"/>
            <w:shd w:val="clear" w:color="auto" w:fill="CD091C"/>
          </w:tcPr>
          <w:p w14:paraId="2BF03C8A" w14:textId="77777777"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Línea estratégica</w:t>
            </w:r>
          </w:p>
        </w:tc>
      </w:tr>
      <w:tr w:rsidR="00624ED2" w:rsidRPr="00EB4B09" w14:paraId="4370B111" w14:textId="77777777" w:rsidTr="00EB4B09">
        <w:trPr>
          <w:jc w:val="center"/>
        </w:trPr>
        <w:tc>
          <w:tcPr>
            <w:tcW w:w="9072" w:type="dxa"/>
            <w:shd w:val="clear" w:color="auto" w:fill="auto"/>
          </w:tcPr>
          <w:p w14:paraId="0B89E05B" w14:textId="77777777" w:rsidR="00624ED2" w:rsidRPr="00EB4B09" w:rsidRDefault="00624ED2" w:rsidP="00624ED2">
            <w:pPr>
              <w:ind w:left="487"/>
              <w:rPr>
                <w:rFonts w:ascii="MyriadPro-Regular" w:hAnsi="MyriadPro-Regular"/>
                <w:lang w:val="es-ES" w:eastAsia="es-ES"/>
              </w:rPr>
            </w:pPr>
            <w:r w:rsidRPr="00EB4B09">
              <w:rPr>
                <w:rFonts w:ascii="MyriadPro-Regular" w:hAnsi="MyriadPro-Regular"/>
                <w:lang w:val="es-ES" w:eastAsia="es-ES"/>
              </w:rPr>
              <w:t>9.2.3 Servir con Integridad.</w:t>
            </w:r>
          </w:p>
        </w:tc>
      </w:tr>
      <w:tr w:rsidR="00624ED2" w:rsidRPr="00EB4B09" w14:paraId="6B39D16B" w14:textId="77777777" w:rsidTr="00EB4B09">
        <w:trPr>
          <w:jc w:val="center"/>
        </w:trPr>
        <w:tc>
          <w:tcPr>
            <w:tcW w:w="9072" w:type="dxa"/>
            <w:shd w:val="clear" w:color="auto" w:fill="CD091C"/>
          </w:tcPr>
          <w:p w14:paraId="5545A0E2" w14:textId="77777777" w:rsidR="00624ED2" w:rsidRPr="00EB4B09" w:rsidRDefault="00624ED2" w:rsidP="00624ED2">
            <w:pPr>
              <w:rPr>
                <w:rFonts w:ascii="MyriadPro-Regular" w:hAnsi="MyriadPro-Regular"/>
                <w:color w:val="FFFFFF" w:themeColor="background1"/>
                <w:lang w:val="es-ES" w:eastAsia="es-ES"/>
              </w:rPr>
            </w:pPr>
            <w:r w:rsidRPr="00EB4B09" w:rsidDel="00F56137">
              <w:rPr>
                <w:rFonts w:ascii="MyriadPro-Regular" w:hAnsi="MyriadPro-Regular"/>
                <w:b/>
                <w:color w:val="FFFFFF" w:themeColor="background1"/>
                <w:lang w:val="es-ES" w:eastAsia="es-ES"/>
              </w:rPr>
              <w:t>Acciones</w:t>
            </w:r>
          </w:p>
        </w:tc>
      </w:tr>
      <w:tr w:rsidR="00624ED2" w:rsidRPr="00EB4B09" w14:paraId="128D09B0" w14:textId="77777777" w:rsidTr="00EB4B09">
        <w:trPr>
          <w:jc w:val="center"/>
        </w:trPr>
        <w:tc>
          <w:tcPr>
            <w:tcW w:w="9072" w:type="dxa"/>
            <w:shd w:val="clear" w:color="auto" w:fill="auto"/>
          </w:tcPr>
          <w:p w14:paraId="2423F57A" w14:textId="77777777" w:rsidR="00624ED2" w:rsidRPr="00EB4B09" w:rsidRDefault="00624ED2" w:rsidP="00624ED2">
            <w:pPr>
              <w:ind w:left="2019" w:hanging="850"/>
              <w:contextualSpacing/>
              <w:jc w:val="both"/>
              <w:rPr>
                <w:rFonts w:ascii="MyriadPro-Regular" w:hAnsi="MyriadPro-Regular"/>
                <w:lang w:val="es-ES" w:eastAsia="es-ES"/>
              </w:rPr>
            </w:pPr>
            <w:r w:rsidRPr="00EB4B09">
              <w:rPr>
                <w:rFonts w:ascii="MyriadPro-Regular" w:hAnsi="MyriadPro-Regular"/>
                <w:lang w:val="es-ES" w:eastAsia="es-ES"/>
              </w:rPr>
              <w:t>9.2.3.1 Impulsar en los Servidores Públicos la mejora continua en Materia del Sistema Nacional Anticorrupción y Sistema Nacional de Fiscalización.</w:t>
            </w:r>
          </w:p>
        </w:tc>
      </w:tr>
      <w:tr w:rsidR="00624ED2" w:rsidRPr="00EB4B09" w14:paraId="2CACCA3E" w14:textId="77777777" w:rsidTr="00EB4B09">
        <w:trPr>
          <w:jc w:val="center"/>
        </w:trPr>
        <w:tc>
          <w:tcPr>
            <w:tcW w:w="9072" w:type="dxa"/>
            <w:shd w:val="clear" w:color="auto" w:fill="auto"/>
          </w:tcPr>
          <w:p w14:paraId="47B95989" w14:textId="77777777" w:rsidR="00624ED2" w:rsidRPr="00EB4B09" w:rsidRDefault="00624ED2" w:rsidP="00624ED2">
            <w:pPr>
              <w:ind w:left="2019" w:hanging="850"/>
              <w:contextualSpacing/>
              <w:jc w:val="both"/>
              <w:rPr>
                <w:rFonts w:ascii="MyriadPro-Regular" w:hAnsi="MyriadPro-Regular"/>
                <w:lang w:val="es-ES" w:eastAsia="es-ES"/>
              </w:rPr>
            </w:pPr>
            <w:r w:rsidRPr="00EB4B09">
              <w:rPr>
                <w:rFonts w:ascii="MyriadPro-Regular" w:hAnsi="MyriadPro-Regular"/>
                <w:lang w:val="es-ES" w:eastAsia="es-ES"/>
              </w:rPr>
              <w:t xml:space="preserve">9.2.3.2 Combatir y prevenir la corrupción dentro de las instituciones. </w:t>
            </w:r>
          </w:p>
        </w:tc>
      </w:tr>
      <w:tr w:rsidR="00624ED2" w:rsidRPr="00EB4B09" w14:paraId="12B578B7" w14:textId="77777777" w:rsidTr="00EB4B09">
        <w:trPr>
          <w:jc w:val="center"/>
        </w:trPr>
        <w:tc>
          <w:tcPr>
            <w:tcW w:w="9072" w:type="dxa"/>
            <w:shd w:val="clear" w:color="auto" w:fill="CD091C"/>
          </w:tcPr>
          <w:p w14:paraId="7BD76E75" w14:textId="77777777"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Objetivo</w:t>
            </w:r>
          </w:p>
        </w:tc>
      </w:tr>
      <w:tr w:rsidR="00624ED2" w:rsidRPr="00EB4B09" w14:paraId="20ED729B" w14:textId="77777777" w:rsidTr="00EB4B09">
        <w:trPr>
          <w:jc w:val="center"/>
        </w:trPr>
        <w:tc>
          <w:tcPr>
            <w:tcW w:w="9072" w:type="dxa"/>
            <w:shd w:val="clear" w:color="auto" w:fill="auto"/>
          </w:tcPr>
          <w:p w14:paraId="56E4C1D8" w14:textId="77777777" w:rsidR="00624ED2" w:rsidRPr="00EB4B09" w:rsidRDefault="00624ED2" w:rsidP="00624ED2">
            <w:pPr>
              <w:ind w:left="487" w:hanging="487"/>
              <w:rPr>
                <w:rFonts w:ascii="MyriadPro-Regular" w:hAnsi="MyriadPro-Regular"/>
                <w:lang w:val="es-ES" w:eastAsia="es-ES"/>
              </w:rPr>
            </w:pPr>
            <w:r w:rsidRPr="00EB4B09">
              <w:rPr>
                <w:rFonts w:ascii="MyriadPro-Regular" w:hAnsi="MyriadPro-Regular"/>
                <w:lang w:val="es-ES" w:eastAsia="es-ES"/>
              </w:rPr>
              <w:t>9.3 Desarrollar un gobierno digital de vanguardia, para permitir a los ciudadanos agilizar trámites, consultar información y verificar los resultados del gobierno.</w:t>
            </w:r>
          </w:p>
        </w:tc>
      </w:tr>
      <w:tr w:rsidR="00624ED2" w:rsidRPr="00EB4B09" w14:paraId="06A49627" w14:textId="77777777" w:rsidTr="00EB4B09">
        <w:trPr>
          <w:jc w:val="center"/>
        </w:trPr>
        <w:tc>
          <w:tcPr>
            <w:tcW w:w="9072" w:type="dxa"/>
            <w:shd w:val="clear" w:color="auto" w:fill="CD091C"/>
          </w:tcPr>
          <w:p w14:paraId="505276CE" w14:textId="77777777"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Línea estratégica</w:t>
            </w:r>
          </w:p>
        </w:tc>
      </w:tr>
      <w:tr w:rsidR="00624ED2" w:rsidRPr="00EB4B09" w14:paraId="5872AE78" w14:textId="77777777" w:rsidTr="00EB4B09">
        <w:trPr>
          <w:jc w:val="center"/>
        </w:trPr>
        <w:tc>
          <w:tcPr>
            <w:tcW w:w="9072" w:type="dxa"/>
            <w:shd w:val="clear" w:color="auto" w:fill="auto"/>
          </w:tcPr>
          <w:p w14:paraId="73211D6C" w14:textId="77777777" w:rsidR="00624ED2" w:rsidRPr="00EB4B09" w:rsidRDefault="00624ED2" w:rsidP="00624ED2">
            <w:pPr>
              <w:ind w:left="487"/>
              <w:rPr>
                <w:rFonts w:ascii="MyriadPro-Regular" w:hAnsi="MyriadPro-Regular"/>
                <w:lang w:val="es-ES" w:eastAsia="es-ES"/>
              </w:rPr>
            </w:pPr>
            <w:r w:rsidRPr="00EB4B09">
              <w:rPr>
                <w:rFonts w:ascii="MyriadPro-Regular" w:hAnsi="MyriadPro-Regular"/>
                <w:lang w:val="es-ES" w:eastAsia="es-ES"/>
              </w:rPr>
              <w:t>9.3.1 Hacer más eficientes los trámites y servicios.</w:t>
            </w:r>
          </w:p>
        </w:tc>
      </w:tr>
      <w:tr w:rsidR="00624ED2" w:rsidRPr="00EB4B09" w14:paraId="7B12C917" w14:textId="77777777" w:rsidTr="00EB4B09">
        <w:trPr>
          <w:jc w:val="center"/>
        </w:trPr>
        <w:tc>
          <w:tcPr>
            <w:tcW w:w="9072" w:type="dxa"/>
            <w:shd w:val="clear" w:color="auto" w:fill="CD091C"/>
          </w:tcPr>
          <w:p w14:paraId="429C23B6" w14:textId="77777777" w:rsidR="00624ED2" w:rsidRPr="00EB4B09" w:rsidRDefault="00624ED2" w:rsidP="00624ED2">
            <w:pPr>
              <w:rPr>
                <w:rFonts w:ascii="MyriadPro-Regular" w:hAnsi="MyriadPro-Regular"/>
                <w:color w:val="FFFFFF" w:themeColor="background1"/>
                <w:lang w:val="es-ES" w:eastAsia="es-ES"/>
              </w:rPr>
            </w:pPr>
            <w:r w:rsidRPr="00EB4B09" w:rsidDel="00F56137">
              <w:rPr>
                <w:rFonts w:ascii="MyriadPro-Regular" w:hAnsi="MyriadPro-Regular"/>
                <w:b/>
                <w:color w:val="FFFFFF" w:themeColor="background1"/>
                <w:lang w:val="es-ES" w:eastAsia="es-ES"/>
              </w:rPr>
              <w:t>Acciones</w:t>
            </w:r>
          </w:p>
        </w:tc>
      </w:tr>
      <w:tr w:rsidR="00624ED2" w:rsidRPr="00EB4B09" w14:paraId="593AAE8A" w14:textId="77777777" w:rsidTr="00EB4B09">
        <w:trPr>
          <w:jc w:val="center"/>
        </w:trPr>
        <w:tc>
          <w:tcPr>
            <w:tcW w:w="9072" w:type="dxa"/>
            <w:shd w:val="clear" w:color="auto" w:fill="auto"/>
          </w:tcPr>
          <w:p w14:paraId="1AB97E9B" w14:textId="77777777" w:rsidR="00624ED2" w:rsidRPr="00EB4B09" w:rsidRDefault="00624ED2" w:rsidP="00624ED2">
            <w:pPr>
              <w:ind w:left="2019" w:hanging="850"/>
              <w:contextualSpacing/>
              <w:jc w:val="both"/>
              <w:rPr>
                <w:rFonts w:ascii="MyriadPro-Regular" w:hAnsi="MyriadPro-Regular"/>
                <w:lang w:val="es-ES" w:eastAsia="es-ES"/>
              </w:rPr>
            </w:pPr>
            <w:r w:rsidRPr="00EB4B09">
              <w:rPr>
                <w:rFonts w:ascii="MyriadPro-Regular" w:hAnsi="MyriadPro-Regular"/>
                <w:lang w:val="es-ES" w:eastAsia="es-ES"/>
              </w:rPr>
              <w:t>9.3.1.1 Implementar un programa de revisión y reingeniería de trámites y servicios, con el fin de simplificarlos y utilizar las nuevas tecnologías.</w:t>
            </w:r>
          </w:p>
        </w:tc>
      </w:tr>
      <w:tr w:rsidR="00624ED2" w:rsidRPr="00EB4B09" w14:paraId="245D2659" w14:textId="77777777" w:rsidTr="00EB4B09">
        <w:trPr>
          <w:jc w:val="center"/>
        </w:trPr>
        <w:tc>
          <w:tcPr>
            <w:tcW w:w="9072" w:type="dxa"/>
            <w:shd w:val="clear" w:color="auto" w:fill="auto"/>
          </w:tcPr>
          <w:p w14:paraId="3B46C0BF" w14:textId="77777777" w:rsidR="00624ED2" w:rsidRPr="00EB4B09" w:rsidRDefault="00624ED2" w:rsidP="00624ED2">
            <w:pPr>
              <w:ind w:left="2019" w:hanging="850"/>
              <w:jc w:val="both"/>
              <w:rPr>
                <w:rFonts w:ascii="MyriadPro-Regular" w:hAnsi="MyriadPro-Regular"/>
                <w:lang w:val="es-ES" w:eastAsia="es-ES"/>
              </w:rPr>
            </w:pPr>
            <w:r w:rsidRPr="00EB4B09">
              <w:rPr>
                <w:rFonts w:ascii="MyriadPro-Regular" w:hAnsi="MyriadPro-Regular"/>
                <w:lang w:val="es-ES" w:eastAsia="es-ES"/>
              </w:rPr>
              <w:t>9.3.1.2 Implementar un sistema de control interno efectivo digital.</w:t>
            </w:r>
          </w:p>
        </w:tc>
      </w:tr>
      <w:tr w:rsidR="00624ED2" w:rsidRPr="00EB4B09" w14:paraId="7D3C10F6" w14:textId="77777777" w:rsidTr="00EB4B09">
        <w:trPr>
          <w:jc w:val="center"/>
        </w:trPr>
        <w:tc>
          <w:tcPr>
            <w:tcW w:w="9072" w:type="dxa"/>
            <w:shd w:val="clear" w:color="auto" w:fill="auto"/>
          </w:tcPr>
          <w:p w14:paraId="2494D856" w14:textId="77777777" w:rsidR="00624ED2" w:rsidRPr="00EB4B09" w:rsidRDefault="00624ED2" w:rsidP="00624ED2">
            <w:pPr>
              <w:tabs>
                <w:tab w:val="left" w:pos="818"/>
              </w:tabs>
              <w:ind w:left="2019" w:hanging="850"/>
              <w:contextualSpacing/>
              <w:jc w:val="both"/>
              <w:rPr>
                <w:rFonts w:ascii="MyriadPro-Regular" w:hAnsi="MyriadPro-Regular"/>
                <w:lang w:val="es-ES" w:eastAsia="es-ES"/>
              </w:rPr>
            </w:pPr>
            <w:r w:rsidRPr="00EB4B09">
              <w:rPr>
                <w:rFonts w:ascii="MyriadPro-Regular" w:hAnsi="MyriadPro-Regular"/>
                <w:lang w:val="es-ES" w:eastAsia="es-ES"/>
              </w:rPr>
              <w:lastRenderedPageBreak/>
              <w:t xml:space="preserve">9.3.1.3 Facilitar y agilizar los trámites para migrantes en la expedición de documentación de los servicios de validación educativa, del registro civil, catastral y demás servicios aprovechando las </w:t>
            </w:r>
            <w:proofErr w:type="spellStart"/>
            <w:r w:rsidRPr="00EB4B09">
              <w:rPr>
                <w:rFonts w:ascii="MyriadPro-Regular" w:hAnsi="MyriadPro-Regular"/>
                <w:lang w:val="es-ES" w:eastAsia="es-ES"/>
              </w:rPr>
              <w:t>TIC’s</w:t>
            </w:r>
            <w:proofErr w:type="spellEnd"/>
            <w:r w:rsidRPr="00EB4B09">
              <w:rPr>
                <w:rFonts w:ascii="MyriadPro-Regular" w:hAnsi="MyriadPro-Regular"/>
                <w:lang w:val="es-ES" w:eastAsia="es-ES"/>
              </w:rPr>
              <w:t>.</w:t>
            </w:r>
          </w:p>
        </w:tc>
      </w:tr>
      <w:tr w:rsidR="00624ED2" w:rsidRPr="00EB4B09" w14:paraId="00625C11" w14:textId="77777777" w:rsidTr="00EB4B09">
        <w:trPr>
          <w:jc w:val="center"/>
        </w:trPr>
        <w:tc>
          <w:tcPr>
            <w:tcW w:w="9072" w:type="dxa"/>
            <w:shd w:val="clear" w:color="auto" w:fill="CD091C"/>
          </w:tcPr>
          <w:p w14:paraId="0463B6A4" w14:textId="2529BC31"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Línea estratégica</w:t>
            </w:r>
          </w:p>
        </w:tc>
      </w:tr>
      <w:tr w:rsidR="00624ED2" w:rsidRPr="00EB4B09" w14:paraId="422197FD" w14:textId="77777777" w:rsidTr="00EB4B09">
        <w:trPr>
          <w:jc w:val="center"/>
        </w:trPr>
        <w:tc>
          <w:tcPr>
            <w:tcW w:w="9072" w:type="dxa"/>
            <w:shd w:val="clear" w:color="auto" w:fill="auto"/>
          </w:tcPr>
          <w:p w14:paraId="5872AB47" w14:textId="77777777" w:rsidR="00624ED2" w:rsidRPr="00EB4B09" w:rsidRDefault="00624ED2" w:rsidP="00624ED2">
            <w:pPr>
              <w:ind w:left="487"/>
              <w:rPr>
                <w:rFonts w:ascii="MyriadPro-Regular" w:hAnsi="MyriadPro-Regular"/>
                <w:lang w:val="es-ES" w:eastAsia="es-ES"/>
              </w:rPr>
            </w:pPr>
            <w:r w:rsidRPr="00EB4B09">
              <w:rPr>
                <w:rFonts w:ascii="MyriadPro-Regular" w:hAnsi="MyriadPro-Regular"/>
                <w:lang w:val="es-ES" w:eastAsia="es-ES"/>
              </w:rPr>
              <w:t>9.3.2. Impulsar la competitividad tecnológica.</w:t>
            </w:r>
          </w:p>
        </w:tc>
      </w:tr>
      <w:tr w:rsidR="00624ED2" w:rsidRPr="00EB4B09" w14:paraId="66D46404" w14:textId="77777777" w:rsidTr="00EB4B09">
        <w:trPr>
          <w:jc w:val="center"/>
        </w:trPr>
        <w:tc>
          <w:tcPr>
            <w:tcW w:w="9072" w:type="dxa"/>
            <w:shd w:val="clear" w:color="auto" w:fill="CD091C"/>
          </w:tcPr>
          <w:p w14:paraId="1DD09AEE" w14:textId="77777777" w:rsidR="00624ED2" w:rsidRPr="00EB4B09" w:rsidRDefault="00624ED2" w:rsidP="00624ED2">
            <w:pPr>
              <w:rPr>
                <w:rFonts w:ascii="MyriadPro-Regular" w:hAnsi="MyriadPro-Regular"/>
                <w:color w:val="FFFFFF" w:themeColor="background1"/>
                <w:lang w:val="es-ES" w:eastAsia="es-ES"/>
              </w:rPr>
            </w:pPr>
            <w:r w:rsidRPr="00EB4B09" w:rsidDel="00F56137">
              <w:rPr>
                <w:rFonts w:ascii="MyriadPro-Regular" w:hAnsi="MyriadPro-Regular"/>
                <w:b/>
                <w:color w:val="FFFFFF" w:themeColor="background1"/>
                <w:lang w:val="es-ES" w:eastAsia="es-ES"/>
              </w:rPr>
              <w:t>Acciones</w:t>
            </w:r>
          </w:p>
        </w:tc>
      </w:tr>
      <w:tr w:rsidR="00624ED2" w:rsidRPr="00EB4B09" w14:paraId="17525B03" w14:textId="77777777" w:rsidTr="00EB4B09">
        <w:trPr>
          <w:jc w:val="center"/>
        </w:trPr>
        <w:tc>
          <w:tcPr>
            <w:tcW w:w="9072" w:type="dxa"/>
            <w:shd w:val="clear" w:color="auto" w:fill="auto"/>
          </w:tcPr>
          <w:p w14:paraId="7D0DD932" w14:textId="77777777" w:rsidR="00624ED2" w:rsidRPr="00EB4B09" w:rsidRDefault="00624ED2" w:rsidP="00624ED2">
            <w:pPr>
              <w:ind w:left="2019" w:hanging="850"/>
              <w:contextualSpacing/>
              <w:jc w:val="both"/>
              <w:rPr>
                <w:rFonts w:ascii="MyriadPro-Regular" w:hAnsi="MyriadPro-Regular"/>
                <w:lang w:val="es-ES" w:eastAsia="es-ES"/>
              </w:rPr>
            </w:pPr>
            <w:r w:rsidRPr="00EB4B09">
              <w:rPr>
                <w:rFonts w:ascii="MyriadPro-Regular" w:hAnsi="MyriadPro-Regular"/>
                <w:lang w:val="es-ES" w:eastAsia="es-ES"/>
              </w:rPr>
              <w:t>9.3.2.1 Desarrollar una plataforma digital única donde converjan la información pública con procedimientos y formatos homologados.</w:t>
            </w:r>
          </w:p>
        </w:tc>
      </w:tr>
      <w:tr w:rsidR="00624ED2" w:rsidRPr="00EB4B09" w14:paraId="66377865" w14:textId="77777777" w:rsidTr="00EB4B09">
        <w:trPr>
          <w:jc w:val="center"/>
        </w:trPr>
        <w:tc>
          <w:tcPr>
            <w:tcW w:w="9072" w:type="dxa"/>
            <w:shd w:val="clear" w:color="auto" w:fill="auto"/>
          </w:tcPr>
          <w:p w14:paraId="4D7A41B4" w14:textId="77777777" w:rsidR="00624ED2" w:rsidRPr="00EB4B09" w:rsidRDefault="00624ED2" w:rsidP="00624ED2">
            <w:pPr>
              <w:ind w:left="2019" w:hanging="850"/>
              <w:contextualSpacing/>
              <w:jc w:val="both"/>
              <w:rPr>
                <w:rFonts w:ascii="MyriadPro-Regular" w:hAnsi="MyriadPro-Regular"/>
                <w:lang w:val="es-ES" w:eastAsia="es-ES"/>
              </w:rPr>
            </w:pPr>
            <w:r w:rsidRPr="00EB4B09">
              <w:rPr>
                <w:rFonts w:ascii="MyriadPro-Regular" w:hAnsi="MyriadPro-Regular"/>
                <w:lang w:val="es-ES" w:eastAsia="es-ES"/>
              </w:rPr>
              <w:t>9.3.2.2 Gestionar tecnología de punta en equipos informáticos.</w:t>
            </w:r>
          </w:p>
        </w:tc>
      </w:tr>
      <w:tr w:rsidR="00624ED2" w:rsidRPr="00EB4B09" w14:paraId="5C375047" w14:textId="77777777" w:rsidTr="00EB4B09">
        <w:trPr>
          <w:jc w:val="center"/>
        </w:trPr>
        <w:tc>
          <w:tcPr>
            <w:tcW w:w="9072" w:type="dxa"/>
            <w:shd w:val="clear" w:color="auto" w:fill="auto"/>
          </w:tcPr>
          <w:p w14:paraId="7912AB01" w14:textId="77777777" w:rsidR="00624ED2" w:rsidRPr="00EB4B09" w:rsidRDefault="00624ED2" w:rsidP="00624ED2">
            <w:pPr>
              <w:ind w:left="2019" w:hanging="850"/>
              <w:contextualSpacing/>
              <w:jc w:val="both"/>
              <w:rPr>
                <w:rFonts w:ascii="MyriadPro-Regular" w:hAnsi="MyriadPro-Regular"/>
                <w:lang w:val="es-ES" w:eastAsia="es-ES"/>
              </w:rPr>
            </w:pPr>
            <w:r w:rsidRPr="00EB4B09">
              <w:rPr>
                <w:rFonts w:ascii="MyriadPro-Regular" w:hAnsi="MyriadPro-Regular"/>
                <w:lang w:val="es-ES" w:eastAsia="es-ES"/>
              </w:rPr>
              <w:t>9.3.2.3 Garantizar una interconexión de calidad.</w:t>
            </w:r>
          </w:p>
        </w:tc>
      </w:tr>
      <w:tr w:rsidR="00624ED2" w:rsidRPr="00EB4B09" w14:paraId="61201ED3" w14:textId="77777777" w:rsidTr="00EB4B09">
        <w:trPr>
          <w:jc w:val="center"/>
        </w:trPr>
        <w:tc>
          <w:tcPr>
            <w:tcW w:w="9072" w:type="dxa"/>
            <w:shd w:val="clear" w:color="auto" w:fill="auto"/>
          </w:tcPr>
          <w:p w14:paraId="510FAB01" w14:textId="77777777" w:rsidR="00624ED2" w:rsidRPr="00EB4B09" w:rsidRDefault="00624ED2" w:rsidP="00624ED2">
            <w:pPr>
              <w:ind w:left="2019" w:hanging="850"/>
              <w:contextualSpacing/>
              <w:jc w:val="both"/>
              <w:rPr>
                <w:rFonts w:ascii="MyriadPro-Regular" w:hAnsi="MyriadPro-Regular"/>
                <w:lang w:val="es-ES" w:eastAsia="es-ES"/>
              </w:rPr>
            </w:pPr>
            <w:r w:rsidRPr="00EB4B09">
              <w:rPr>
                <w:rFonts w:ascii="MyriadPro-Regular" w:hAnsi="MyriadPro-Regular"/>
                <w:lang w:val="es-ES" w:eastAsia="es-ES"/>
              </w:rPr>
              <w:t>9.3.2.4 Establecer un proceso de innovación, productividad y mejora del desempeño del Gobierno del Estado.</w:t>
            </w:r>
          </w:p>
        </w:tc>
      </w:tr>
      <w:tr w:rsidR="00624ED2" w:rsidRPr="00EB4B09" w14:paraId="73825F3F" w14:textId="77777777" w:rsidTr="00EB4B09">
        <w:trPr>
          <w:jc w:val="center"/>
        </w:trPr>
        <w:tc>
          <w:tcPr>
            <w:tcW w:w="9072" w:type="dxa"/>
            <w:shd w:val="clear" w:color="auto" w:fill="CD091C"/>
          </w:tcPr>
          <w:p w14:paraId="284B8036" w14:textId="77777777"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Línea estratégica</w:t>
            </w:r>
          </w:p>
        </w:tc>
      </w:tr>
      <w:tr w:rsidR="00624ED2" w:rsidRPr="00EB4B09" w14:paraId="17777F62" w14:textId="77777777" w:rsidTr="00EB4B09">
        <w:trPr>
          <w:jc w:val="center"/>
        </w:trPr>
        <w:tc>
          <w:tcPr>
            <w:tcW w:w="9072" w:type="dxa"/>
            <w:shd w:val="clear" w:color="auto" w:fill="auto"/>
          </w:tcPr>
          <w:p w14:paraId="6B8CE699" w14:textId="77777777" w:rsidR="00624ED2" w:rsidRPr="00EB4B09" w:rsidRDefault="00624ED2" w:rsidP="00624ED2">
            <w:pPr>
              <w:ind w:left="487"/>
              <w:rPr>
                <w:rFonts w:ascii="MyriadPro-Regular" w:hAnsi="MyriadPro-Regular"/>
                <w:lang w:val="es-ES" w:eastAsia="es-ES"/>
              </w:rPr>
            </w:pPr>
            <w:r w:rsidRPr="00EB4B09">
              <w:rPr>
                <w:rFonts w:ascii="MyriadPro-Regular" w:hAnsi="MyriadPro-Regular"/>
                <w:lang w:val="es-ES" w:eastAsia="es-ES"/>
              </w:rPr>
              <w:t>9.3.3. Profesionalizar la comunicación institucional de manera transversal.</w:t>
            </w:r>
          </w:p>
        </w:tc>
      </w:tr>
      <w:tr w:rsidR="00624ED2" w:rsidRPr="00EB4B09" w14:paraId="6E35DD4F" w14:textId="77777777" w:rsidTr="00EB4B09">
        <w:trPr>
          <w:jc w:val="center"/>
        </w:trPr>
        <w:tc>
          <w:tcPr>
            <w:tcW w:w="9072" w:type="dxa"/>
            <w:shd w:val="clear" w:color="auto" w:fill="CD091C"/>
          </w:tcPr>
          <w:p w14:paraId="5E5E998F" w14:textId="77777777" w:rsidR="00624ED2" w:rsidRPr="00EB4B09" w:rsidRDefault="00624ED2" w:rsidP="00624ED2">
            <w:pPr>
              <w:rPr>
                <w:rFonts w:ascii="MyriadPro-Regular" w:hAnsi="MyriadPro-Regular"/>
                <w:color w:val="FFFFFF" w:themeColor="background1"/>
                <w:lang w:val="es-ES" w:eastAsia="es-ES"/>
              </w:rPr>
            </w:pPr>
            <w:r w:rsidRPr="00EB4B09" w:rsidDel="00F56137">
              <w:rPr>
                <w:rFonts w:ascii="MyriadPro-Regular" w:hAnsi="MyriadPro-Regular"/>
                <w:b/>
                <w:color w:val="FFFFFF" w:themeColor="background1"/>
                <w:lang w:val="es-ES" w:eastAsia="es-ES"/>
              </w:rPr>
              <w:t>Acciones</w:t>
            </w:r>
          </w:p>
        </w:tc>
      </w:tr>
      <w:tr w:rsidR="00624ED2" w:rsidRPr="00EB4B09" w14:paraId="52C2EEC9" w14:textId="77777777" w:rsidTr="00EB4B09">
        <w:trPr>
          <w:jc w:val="center"/>
        </w:trPr>
        <w:tc>
          <w:tcPr>
            <w:tcW w:w="9072" w:type="dxa"/>
            <w:shd w:val="clear" w:color="auto" w:fill="auto"/>
          </w:tcPr>
          <w:p w14:paraId="23782227" w14:textId="77777777" w:rsidR="00624ED2" w:rsidRPr="00EB4B09" w:rsidRDefault="00624ED2" w:rsidP="00624ED2">
            <w:pPr>
              <w:tabs>
                <w:tab w:val="left" w:pos="884"/>
              </w:tabs>
              <w:ind w:left="2161" w:hanging="992"/>
              <w:contextualSpacing/>
              <w:jc w:val="both"/>
              <w:rPr>
                <w:rFonts w:ascii="MyriadPro-Regular" w:hAnsi="MyriadPro-Regular"/>
                <w:lang w:val="es-ES" w:eastAsia="es-ES"/>
              </w:rPr>
            </w:pPr>
            <w:r w:rsidRPr="00EB4B09">
              <w:rPr>
                <w:rFonts w:ascii="MyriadPro-Regular" w:hAnsi="MyriadPro-Regular"/>
                <w:lang w:val="es-ES" w:eastAsia="es-ES"/>
              </w:rPr>
              <w:t xml:space="preserve">9.3.3.1 </w:t>
            </w:r>
            <w:r w:rsidRPr="00EB4B09">
              <w:rPr>
                <w:rFonts w:ascii="MyriadPro-Regular" w:hAnsi="MyriadPro-Regular"/>
                <w:lang w:val="es-ES" w:eastAsia="es-ES"/>
              </w:rPr>
              <w:tab/>
              <w:t xml:space="preserve">Garantizar mediante la comunicación institucional el adecuado ejercicio de la función pública, el derecho a la información y el involucramiento de los ciudadanos en la toma de decisiones.  </w:t>
            </w:r>
          </w:p>
        </w:tc>
      </w:tr>
      <w:tr w:rsidR="00624ED2" w:rsidRPr="00EB4B09" w14:paraId="510F2316" w14:textId="77777777" w:rsidTr="00EB4B09">
        <w:trPr>
          <w:jc w:val="center"/>
        </w:trPr>
        <w:tc>
          <w:tcPr>
            <w:tcW w:w="9072" w:type="dxa"/>
            <w:shd w:val="clear" w:color="auto" w:fill="auto"/>
          </w:tcPr>
          <w:p w14:paraId="1B4F6CD7" w14:textId="77777777" w:rsidR="00624ED2" w:rsidRPr="00EB4B09" w:rsidRDefault="00624ED2" w:rsidP="00624ED2">
            <w:pPr>
              <w:tabs>
                <w:tab w:val="left" w:pos="884"/>
              </w:tabs>
              <w:ind w:left="2161" w:hanging="992"/>
              <w:contextualSpacing/>
              <w:jc w:val="both"/>
              <w:rPr>
                <w:rFonts w:ascii="MyriadPro-Regular" w:hAnsi="MyriadPro-Regular"/>
                <w:lang w:val="es-ES" w:eastAsia="es-ES"/>
              </w:rPr>
            </w:pPr>
            <w:r w:rsidRPr="00EB4B09">
              <w:rPr>
                <w:rFonts w:ascii="MyriadPro-Regular" w:hAnsi="MyriadPro-Regular"/>
                <w:lang w:val="es-ES" w:eastAsia="es-ES"/>
              </w:rPr>
              <w:t xml:space="preserve">9.3.3.2 </w:t>
            </w:r>
            <w:r w:rsidRPr="00EB4B09">
              <w:rPr>
                <w:rFonts w:ascii="MyriadPro-Regular" w:hAnsi="MyriadPro-Regular"/>
                <w:lang w:val="es-ES" w:eastAsia="es-ES"/>
              </w:rPr>
              <w:tab/>
              <w:t>Fortalecer la difusión de las acciones de gobierno de manera transversal.</w:t>
            </w:r>
          </w:p>
        </w:tc>
      </w:tr>
      <w:tr w:rsidR="00624ED2" w:rsidRPr="00EB4B09" w14:paraId="439DD06C" w14:textId="77777777" w:rsidTr="00EB4B09">
        <w:trPr>
          <w:jc w:val="center"/>
        </w:trPr>
        <w:tc>
          <w:tcPr>
            <w:tcW w:w="9072" w:type="dxa"/>
            <w:shd w:val="clear" w:color="auto" w:fill="auto"/>
          </w:tcPr>
          <w:p w14:paraId="4CC1D88F" w14:textId="77777777" w:rsidR="00624ED2" w:rsidRPr="00EB4B09" w:rsidRDefault="00624ED2" w:rsidP="00624ED2">
            <w:pPr>
              <w:tabs>
                <w:tab w:val="left" w:pos="884"/>
              </w:tabs>
              <w:ind w:left="2161" w:hanging="992"/>
              <w:contextualSpacing/>
              <w:jc w:val="both"/>
              <w:rPr>
                <w:rFonts w:ascii="MyriadPro-Regular" w:hAnsi="MyriadPro-Regular"/>
                <w:lang w:val="es-ES" w:eastAsia="es-ES"/>
              </w:rPr>
            </w:pPr>
            <w:r w:rsidRPr="00EB4B09">
              <w:rPr>
                <w:rFonts w:ascii="MyriadPro-Regular" w:hAnsi="MyriadPro-Regular"/>
                <w:lang w:val="es-ES" w:eastAsia="es-ES"/>
              </w:rPr>
              <w:t xml:space="preserve">9.3.3.3 </w:t>
            </w:r>
            <w:r w:rsidRPr="00EB4B09">
              <w:rPr>
                <w:rFonts w:ascii="MyriadPro-Regular" w:hAnsi="MyriadPro-Regular"/>
                <w:lang w:val="es-ES" w:eastAsia="es-ES"/>
              </w:rPr>
              <w:tab/>
              <w:t>Implementar nuevas tecnologías en el ejercicio de la comunicación institucional.</w:t>
            </w:r>
          </w:p>
        </w:tc>
      </w:tr>
      <w:tr w:rsidR="00624ED2" w:rsidRPr="00EB4B09" w14:paraId="0E0E1835" w14:textId="77777777" w:rsidTr="00EB4B09">
        <w:trPr>
          <w:jc w:val="center"/>
        </w:trPr>
        <w:tc>
          <w:tcPr>
            <w:tcW w:w="9072" w:type="dxa"/>
            <w:shd w:val="clear" w:color="auto" w:fill="auto"/>
          </w:tcPr>
          <w:p w14:paraId="18519D59" w14:textId="77777777" w:rsidR="00624ED2" w:rsidRPr="00EB4B09" w:rsidRDefault="00624ED2" w:rsidP="00624ED2">
            <w:pPr>
              <w:tabs>
                <w:tab w:val="left" w:pos="884"/>
              </w:tabs>
              <w:ind w:left="2161" w:hanging="992"/>
              <w:contextualSpacing/>
              <w:jc w:val="both"/>
              <w:rPr>
                <w:rFonts w:ascii="MyriadPro-Regular" w:hAnsi="MyriadPro-Regular"/>
                <w:lang w:val="es-ES" w:eastAsia="es-ES"/>
              </w:rPr>
            </w:pPr>
            <w:r w:rsidRPr="00EB4B09">
              <w:rPr>
                <w:rFonts w:ascii="MyriadPro-Regular" w:hAnsi="MyriadPro-Regular"/>
                <w:lang w:val="es-ES" w:eastAsia="es-ES"/>
              </w:rPr>
              <w:t xml:space="preserve">9.3.3.4 </w:t>
            </w:r>
            <w:r w:rsidRPr="00EB4B09">
              <w:rPr>
                <w:rFonts w:ascii="MyriadPro-Regular" w:hAnsi="MyriadPro-Regular"/>
                <w:lang w:val="es-ES" w:eastAsia="es-ES"/>
              </w:rPr>
              <w:tab/>
              <w:t>Digitalizar las herramientas de comunicación social.</w:t>
            </w:r>
          </w:p>
        </w:tc>
      </w:tr>
      <w:tr w:rsidR="00624ED2" w:rsidRPr="00EB4B09" w14:paraId="5A02EC87" w14:textId="77777777" w:rsidTr="00EB4B09">
        <w:trPr>
          <w:jc w:val="center"/>
        </w:trPr>
        <w:tc>
          <w:tcPr>
            <w:tcW w:w="9072" w:type="dxa"/>
            <w:shd w:val="clear" w:color="auto" w:fill="auto"/>
          </w:tcPr>
          <w:p w14:paraId="4DC3578F" w14:textId="77777777" w:rsidR="00624ED2" w:rsidRPr="00EB4B09" w:rsidRDefault="00624ED2" w:rsidP="00624ED2">
            <w:pPr>
              <w:tabs>
                <w:tab w:val="left" w:pos="884"/>
              </w:tabs>
              <w:ind w:left="2161" w:hanging="992"/>
              <w:contextualSpacing/>
              <w:jc w:val="both"/>
              <w:rPr>
                <w:rFonts w:ascii="MyriadPro-Regular" w:hAnsi="MyriadPro-Regular"/>
                <w:lang w:val="es-ES" w:eastAsia="es-ES"/>
              </w:rPr>
            </w:pPr>
            <w:bookmarkStart w:id="24" w:name="_GoBack"/>
            <w:bookmarkEnd w:id="24"/>
            <w:r w:rsidRPr="00EB4B09">
              <w:rPr>
                <w:rFonts w:ascii="MyriadPro-Regular" w:hAnsi="MyriadPro-Regular"/>
                <w:lang w:val="es-ES" w:eastAsia="es-ES"/>
              </w:rPr>
              <w:t>9.3.3.5</w:t>
            </w:r>
            <w:r w:rsidRPr="00EB4B09">
              <w:rPr>
                <w:rFonts w:ascii="MyriadPro-Regular" w:hAnsi="MyriadPro-Regular"/>
                <w:lang w:val="es-ES" w:eastAsia="es-ES"/>
              </w:rPr>
              <w:tab/>
              <w:t>Establecer los lineamientos generales para la orientación, planeación, autorización, coordinación, supervisión y evaluación de las políticas, estrategias, programas y campañas de comunicación, difusión y redes sociales de las dependencias y entidades con información oportuna y efectiva.</w:t>
            </w:r>
          </w:p>
        </w:tc>
      </w:tr>
      <w:tr w:rsidR="00624ED2" w:rsidRPr="00EB4B09" w14:paraId="49FF8543" w14:textId="77777777" w:rsidTr="00EB4B09">
        <w:trPr>
          <w:jc w:val="center"/>
        </w:trPr>
        <w:tc>
          <w:tcPr>
            <w:tcW w:w="9072" w:type="dxa"/>
            <w:shd w:val="clear" w:color="auto" w:fill="C00000"/>
          </w:tcPr>
          <w:p w14:paraId="3D38E03E" w14:textId="77777777"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Objetivo</w:t>
            </w:r>
          </w:p>
        </w:tc>
      </w:tr>
      <w:tr w:rsidR="00624ED2" w:rsidRPr="00EB4B09" w14:paraId="51DC1995" w14:textId="77777777" w:rsidTr="00EB4B09">
        <w:trPr>
          <w:jc w:val="center"/>
        </w:trPr>
        <w:tc>
          <w:tcPr>
            <w:tcW w:w="9072" w:type="dxa"/>
            <w:shd w:val="clear" w:color="auto" w:fill="auto"/>
          </w:tcPr>
          <w:p w14:paraId="6AA833E7" w14:textId="77777777" w:rsidR="00624ED2" w:rsidRPr="00EB4B09" w:rsidRDefault="00624ED2" w:rsidP="00624ED2">
            <w:pPr>
              <w:tabs>
                <w:tab w:val="left" w:pos="884"/>
              </w:tabs>
              <w:ind w:left="460" w:hanging="460"/>
              <w:jc w:val="both"/>
              <w:rPr>
                <w:rFonts w:ascii="MyriadPro-Regular" w:hAnsi="MyriadPro-Regular"/>
                <w:lang w:val="es-ES" w:eastAsia="es-ES"/>
              </w:rPr>
            </w:pPr>
            <w:r w:rsidRPr="00EB4B09">
              <w:rPr>
                <w:rFonts w:ascii="MyriadPro-Regular" w:hAnsi="MyriadPro-Regular"/>
                <w:lang w:val="es-ES" w:eastAsia="es-ES"/>
              </w:rPr>
              <w:t xml:space="preserve">9.4 Operar el Sistema de Planeación Integral del Estado de Michoacán para la planeación, programación, </w:t>
            </w:r>
            <w:proofErr w:type="spellStart"/>
            <w:r w:rsidRPr="00EB4B09">
              <w:rPr>
                <w:rFonts w:ascii="MyriadPro-Regular" w:hAnsi="MyriadPro-Regular"/>
                <w:lang w:val="es-ES" w:eastAsia="es-ES"/>
              </w:rPr>
              <w:t>presupuestación</w:t>
            </w:r>
            <w:proofErr w:type="spellEnd"/>
            <w:r w:rsidRPr="00EB4B09">
              <w:rPr>
                <w:rFonts w:ascii="MyriadPro-Regular" w:hAnsi="MyriadPro-Regular"/>
                <w:lang w:val="es-ES" w:eastAsia="es-ES"/>
              </w:rPr>
              <w:t>, evaluación y seguimiento de planes, y programas de desarrollo.</w:t>
            </w:r>
          </w:p>
        </w:tc>
      </w:tr>
      <w:tr w:rsidR="00624ED2" w:rsidRPr="00EB4B09" w14:paraId="19DAE20E" w14:textId="77777777" w:rsidTr="00EB4B09">
        <w:trPr>
          <w:jc w:val="center"/>
        </w:trPr>
        <w:tc>
          <w:tcPr>
            <w:tcW w:w="9072" w:type="dxa"/>
            <w:shd w:val="clear" w:color="auto" w:fill="C00000"/>
          </w:tcPr>
          <w:p w14:paraId="03CE3BDB" w14:textId="77777777"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Línea estratégica</w:t>
            </w:r>
          </w:p>
        </w:tc>
      </w:tr>
      <w:tr w:rsidR="00624ED2" w:rsidRPr="00EB4B09" w14:paraId="269C872F" w14:textId="77777777" w:rsidTr="00EB4B09">
        <w:trPr>
          <w:jc w:val="center"/>
        </w:trPr>
        <w:tc>
          <w:tcPr>
            <w:tcW w:w="9072" w:type="dxa"/>
            <w:shd w:val="clear" w:color="auto" w:fill="auto"/>
          </w:tcPr>
          <w:p w14:paraId="7D1EEDFA" w14:textId="77777777" w:rsidR="00624ED2" w:rsidRPr="00EB4B09" w:rsidRDefault="00624ED2" w:rsidP="00624ED2">
            <w:pPr>
              <w:tabs>
                <w:tab w:val="left" w:pos="884"/>
              </w:tabs>
              <w:ind w:left="602"/>
              <w:jc w:val="both"/>
              <w:rPr>
                <w:rFonts w:ascii="MyriadPro-Regular" w:hAnsi="MyriadPro-Regular"/>
                <w:lang w:val="es-ES" w:eastAsia="es-ES"/>
              </w:rPr>
            </w:pPr>
            <w:r w:rsidRPr="00EB4B09">
              <w:rPr>
                <w:rFonts w:ascii="MyriadPro-Regular" w:hAnsi="MyriadPro-Regular"/>
                <w:lang w:val="es-ES" w:eastAsia="es-ES"/>
              </w:rPr>
              <w:t>9.4.1 Planeación y programación presupuestaria para cuentas claras.</w:t>
            </w:r>
          </w:p>
        </w:tc>
      </w:tr>
      <w:tr w:rsidR="00624ED2" w:rsidRPr="00EB4B09" w14:paraId="7B1E205B" w14:textId="77777777" w:rsidTr="00EB4B09">
        <w:trPr>
          <w:jc w:val="center"/>
        </w:trPr>
        <w:tc>
          <w:tcPr>
            <w:tcW w:w="9072" w:type="dxa"/>
            <w:shd w:val="clear" w:color="auto" w:fill="C00000"/>
          </w:tcPr>
          <w:p w14:paraId="5DFAD72F" w14:textId="77777777" w:rsidR="00624ED2" w:rsidRPr="00EB4B09" w:rsidRDefault="00624ED2" w:rsidP="00624ED2">
            <w:pPr>
              <w:rPr>
                <w:rFonts w:ascii="MyriadPro-Regular" w:hAnsi="MyriadPro-Regular"/>
                <w:color w:val="FFFFFF" w:themeColor="background1"/>
                <w:lang w:val="es-ES" w:eastAsia="es-ES"/>
              </w:rPr>
            </w:pPr>
            <w:r w:rsidRPr="00EB4B09" w:rsidDel="00F56137">
              <w:rPr>
                <w:rFonts w:ascii="MyriadPro-Regular" w:hAnsi="MyriadPro-Regular"/>
                <w:b/>
                <w:color w:val="FFFFFF" w:themeColor="background1"/>
                <w:lang w:val="es-ES" w:eastAsia="es-ES"/>
              </w:rPr>
              <w:t>Acciones</w:t>
            </w:r>
          </w:p>
        </w:tc>
      </w:tr>
      <w:tr w:rsidR="00624ED2" w:rsidRPr="00EB4B09" w14:paraId="2D015855" w14:textId="77777777" w:rsidTr="00EB4B09">
        <w:trPr>
          <w:jc w:val="center"/>
        </w:trPr>
        <w:tc>
          <w:tcPr>
            <w:tcW w:w="9072" w:type="dxa"/>
            <w:shd w:val="clear" w:color="auto" w:fill="auto"/>
          </w:tcPr>
          <w:p w14:paraId="4DCC2DAE" w14:textId="77777777" w:rsidR="00624ED2" w:rsidRPr="00EB4B09" w:rsidRDefault="00624ED2" w:rsidP="00624ED2">
            <w:pPr>
              <w:tabs>
                <w:tab w:val="left" w:pos="884"/>
              </w:tabs>
              <w:ind w:left="2161" w:hanging="992"/>
              <w:contextualSpacing/>
              <w:jc w:val="both"/>
              <w:rPr>
                <w:rFonts w:ascii="MyriadPro-Regular" w:hAnsi="MyriadPro-Regular"/>
                <w:lang w:val="es-ES" w:eastAsia="es-ES"/>
              </w:rPr>
            </w:pPr>
            <w:r w:rsidRPr="00EB4B09">
              <w:rPr>
                <w:rFonts w:ascii="MyriadPro-Regular" w:hAnsi="MyriadPro-Regular"/>
                <w:lang w:val="es-ES" w:eastAsia="es-ES"/>
              </w:rPr>
              <w:t>9.4.1.1 Formular las políticas públicas para el desarrollo integral del Estado, la elaboración del  Plan de Desarrollo Integral del Estado, los programas y subprogramas que de él derivan con la consulta y participación ciudadana y los diversos sectores de la sociedad michoacana.</w:t>
            </w:r>
          </w:p>
        </w:tc>
      </w:tr>
      <w:tr w:rsidR="00624ED2" w:rsidRPr="00EB4B09" w14:paraId="3C5C1367" w14:textId="77777777" w:rsidTr="00EB4B09">
        <w:trPr>
          <w:jc w:val="center"/>
        </w:trPr>
        <w:tc>
          <w:tcPr>
            <w:tcW w:w="9072" w:type="dxa"/>
            <w:shd w:val="clear" w:color="auto" w:fill="auto"/>
          </w:tcPr>
          <w:p w14:paraId="27A692D7" w14:textId="77777777" w:rsidR="00624ED2" w:rsidRPr="00EB4B09" w:rsidRDefault="00624ED2" w:rsidP="00624ED2">
            <w:pPr>
              <w:tabs>
                <w:tab w:val="left" w:pos="884"/>
              </w:tabs>
              <w:ind w:left="2161" w:hanging="992"/>
              <w:contextualSpacing/>
              <w:jc w:val="both"/>
              <w:rPr>
                <w:rFonts w:ascii="MyriadPro-Regular" w:hAnsi="MyriadPro-Regular"/>
                <w:lang w:val="es-ES" w:eastAsia="es-ES"/>
              </w:rPr>
            </w:pPr>
            <w:r w:rsidRPr="00EB4B09">
              <w:rPr>
                <w:rFonts w:ascii="MyriadPro-Regular" w:hAnsi="MyriadPro-Regular"/>
                <w:lang w:val="es-ES" w:eastAsia="es-ES"/>
              </w:rPr>
              <w:t>9.4.1.2 Desarrollar los mecanismos e instrumentos para seguimiento de acciones de las dependencias y entidades de la administración pública en la ejecución de sus programas, procesamiento de información técnica y verificación y registro físico de acciones y obras.</w:t>
            </w:r>
          </w:p>
        </w:tc>
      </w:tr>
      <w:tr w:rsidR="00624ED2" w:rsidRPr="00EB4B09" w14:paraId="32FB0059" w14:textId="77777777" w:rsidTr="00EB4B09">
        <w:trPr>
          <w:jc w:val="center"/>
        </w:trPr>
        <w:tc>
          <w:tcPr>
            <w:tcW w:w="9072" w:type="dxa"/>
            <w:shd w:val="clear" w:color="auto" w:fill="auto"/>
          </w:tcPr>
          <w:p w14:paraId="33613355" w14:textId="77777777" w:rsidR="00624ED2" w:rsidRPr="00EB4B09" w:rsidRDefault="00624ED2" w:rsidP="00624ED2">
            <w:pPr>
              <w:tabs>
                <w:tab w:val="left" w:pos="884"/>
              </w:tabs>
              <w:ind w:left="2161" w:hanging="992"/>
              <w:contextualSpacing/>
              <w:jc w:val="both"/>
              <w:rPr>
                <w:rFonts w:ascii="MyriadPro-Regular" w:hAnsi="MyriadPro-Regular"/>
                <w:lang w:val="es-ES" w:eastAsia="es-ES"/>
              </w:rPr>
            </w:pPr>
            <w:r w:rsidRPr="00EB4B09">
              <w:rPr>
                <w:rFonts w:ascii="MyriadPro-Regular" w:hAnsi="MyriadPro-Regular"/>
                <w:lang w:val="es-ES" w:eastAsia="es-ES"/>
              </w:rPr>
              <w:t>9.4.1.3 Promover el diseño y desarrollo de proyectos estratégicos e innovadores para impulsar el desarrollo sostenible, municipal, regional, sectorial y estatal  con la elaboración de los programas respectivos alineados al Plan de Desarrollo Integral del Estado de Michoacán (2015-2021).</w:t>
            </w:r>
          </w:p>
        </w:tc>
      </w:tr>
      <w:tr w:rsidR="00624ED2" w:rsidRPr="00EB4B09" w14:paraId="2A659534" w14:textId="77777777" w:rsidTr="00EB4B09">
        <w:trPr>
          <w:jc w:val="center"/>
        </w:trPr>
        <w:tc>
          <w:tcPr>
            <w:tcW w:w="9072" w:type="dxa"/>
            <w:shd w:val="clear" w:color="auto" w:fill="C00000"/>
          </w:tcPr>
          <w:p w14:paraId="62492036" w14:textId="77777777" w:rsidR="00624ED2" w:rsidRPr="00EB4B09" w:rsidRDefault="00624ED2" w:rsidP="00624ED2">
            <w:pPr>
              <w:rPr>
                <w:rFonts w:ascii="MyriadPro-Regular" w:hAnsi="MyriadPro-Regular"/>
                <w:color w:val="FFFFFF" w:themeColor="background1"/>
                <w:lang w:val="es-ES" w:eastAsia="es-ES"/>
              </w:rPr>
            </w:pPr>
            <w:r w:rsidRPr="00EB4B09">
              <w:rPr>
                <w:rFonts w:ascii="MyriadPro-Regular" w:hAnsi="MyriadPro-Regular"/>
                <w:b/>
                <w:color w:val="FFFFFF" w:themeColor="background1"/>
                <w:lang w:val="es-ES" w:eastAsia="es-ES"/>
              </w:rPr>
              <w:t>Línea estratégica</w:t>
            </w:r>
          </w:p>
        </w:tc>
      </w:tr>
      <w:tr w:rsidR="00624ED2" w:rsidRPr="00EB4B09" w14:paraId="7502D144" w14:textId="77777777" w:rsidTr="00EB4B09">
        <w:trPr>
          <w:jc w:val="center"/>
        </w:trPr>
        <w:tc>
          <w:tcPr>
            <w:tcW w:w="9072" w:type="dxa"/>
            <w:shd w:val="clear" w:color="auto" w:fill="auto"/>
          </w:tcPr>
          <w:p w14:paraId="1619C0B6" w14:textId="77777777" w:rsidR="00624ED2" w:rsidRPr="00EB4B09" w:rsidRDefault="00624ED2" w:rsidP="00624ED2">
            <w:pPr>
              <w:tabs>
                <w:tab w:val="left" w:pos="884"/>
              </w:tabs>
              <w:ind w:left="602"/>
              <w:jc w:val="both"/>
              <w:rPr>
                <w:rFonts w:ascii="MyriadPro-Regular" w:hAnsi="MyriadPro-Regular"/>
                <w:lang w:val="es-ES" w:eastAsia="es-ES"/>
              </w:rPr>
            </w:pPr>
            <w:r w:rsidRPr="00EB4B09">
              <w:rPr>
                <w:rFonts w:ascii="MyriadPro-Regular" w:hAnsi="MyriadPro-Regular"/>
                <w:lang w:val="es-ES" w:eastAsia="es-ES"/>
              </w:rPr>
              <w:t>9.4.2 Evaluación y actualización para el desarrollo integral.</w:t>
            </w:r>
          </w:p>
        </w:tc>
      </w:tr>
      <w:tr w:rsidR="00624ED2" w:rsidRPr="00EB4B09" w14:paraId="475032D1" w14:textId="77777777" w:rsidTr="00EB4B09">
        <w:trPr>
          <w:jc w:val="center"/>
        </w:trPr>
        <w:tc>
          <w:tcPr>
            <w:tcW w:w="9072" w:type="dxa"/>
            <w:shd w:val="clear" w:color="auto" w:fill="C00000"/>
          </w:tcPr>
          <w:p w14:paraId="08232507" w14:textId="77777777" w:rsidR="00624ED2" w:rsidRPr="00EB4B09" w:rsidRDefault="00624ED2" w:rsidP="00624ED2">
            <w:pPr>
              <w:rPr>
                <w:rFonts w:ascii="MyriadPro-Regular" w:hAnsi="MyriadPro-Regular"/>
                <w:color w:val="FFFFFF" w:themeColor="background1"/>
                <w:lang w:val="es-ES" w:eastAsia="es-ES"/>
              </w:rPr>
            </w:pPr>
            <w:r w:rsidRPr="00EB4B09" w:rsidDel="00F56137">
              <w:rPr>
                <w:rFonts w:ascii="MyriadPro-Regular" w:hAnsi="MyriadPro-Regular"/>
                <w:b/>
                <w:color w:val="FFFFFF" w:themeColor="background1"/>
                <w:lang w:val="es-ES" w:eastAsia="es-ES"/>
              </w:rPr>
              <w:t>Acciones</w:t>
            </w:r>
          </w:p>
        </w:tc>
      </w:tr>
      <w:tr w:rsidR="00624ED2" w:rsidRPr="00EB4B09" w14:paraId="0A50A82E" w14:textId="77777777" w:rsidTr="00EB4B09">
        <w:trPr>
          <w:jc w:val="center"/>
        </w:trPr>
        <w:tc>
          <w:tcPr>
            <w:tcW w:w="9072" w:type="dxa"/>
            <w:shd w:val="clear" w:color="auto" w:fill="auto"/>
          </w:tcPr>
          <w:p w14:paraId="6ABA5B62" w14:textId="77777777" w:rsidR="00624ED2" w:rsidRPr="00EB4B09" w:rsidRDefault="00624ED2" w:rsidP="00624ED2">
            <w:pPr>
              <w:ind w:left="2161" w:hanging="992"/>
              <w:contextualSpacing/>
              <w:jc w:val="both"/>
              <w:rPr>
                <w:rFonts w:ascii="MyriadPro-Regular" w:hAnsi="MyriadPro-Regular"/>
                <w:lang w:val="es-ES" w:eastAsia="es-ES"/>
              </w:rPr>
            </w:pPr>
            <w:r w:rsidRPr="00EB4B09">
              <w:rPr>
                <w:rFonts w:ascii="MyriadPro-Regular" w:hAnsi="MyriadPro-Regular"/>
                <w:lang w:val="es-ES" w:eastAsia="es-ES"/>
              </w:rPr>
              <w:t xml:space="preserve">9.4.2.1 Verificar la pertinencia de los programas y presupuestos de las diversas dependencias y entidades  de la administración estatal  para su actualización, reorientación o su reformulación en consideración de sus resultados en función de las prioridades transversales, ejes de gobernanza </w:t>
            </w:r>
            <w:r w:rsidRPr="00EB4B09">
              <w:rPr>
                <w:rFonts w:ascii="MyriadPro-Regular" w:hAnsi="MyriadPro-Regular"/>
                <w:lang w:val="es-ES" w:eastAsia="es-ES"/>
              </w:rPr>
              <w:lastRenderedPageBreak/>
              <w:t>y los objetivos estratégicos y metas del Plan de Desarrollo Integral del Estado de Michoacán (2015-2021).</w:t>
            </w:r>
          </w:p>
        </w:tc>
      </w:tr>
      <w:tr w:rsidR="00624ED2" w:rsidRPr="00EB4B09" w14:paraId="56B987A2" w14:textId="77777777" w:rsidTr="00EB4B09">
        <w:trPr>
          <w:jc w:val="center"/>
        </w:trPr>
        <w:tc>
          <w:tcPr>
            <w:tcW w:w="9072" w:type="dxa"/>
            <w:shd w:val="clear" w:color="auto" w:fill="auto"/>
          </w:tcPr>
          <w:p w14:paraId="53509D90" w14:textId="77777777" w:rsidR="00624ED2" w:rsidRPr="00EB4B09" w:rsidRDefault="00624ED2" w:rsidP="00624ED2">
            <w:pPr>
              <w:ind w:left="2161" w:hanging="992"/>
              <w:contextualSpacing/>
              <w:jc w:val="both"/>
              <w:rPr>
                <w:rFonts w:ascii="MyriadPro-Regular" w:hAnsi="MyriadPro-Regular"/>
                <w:lang w:val="es-ES" w:eastAsia="es-ES"/>
              </w:rPr>
            </w:pPr>
            <w:r w:rsidRPr="00EB4B09">
              <w:rPr>
                <w:rFonts w:ascii="MyriadPro-Regular" w:hAnsi="MyriadPro-Regular"/>
                <w:lang w:val="es-ES" w:eastAsia="es-ES"/>
              </w:rPr>
              <w:lastRenderedPageBreak/>
              <w:t>9.4.2.2 Garantizar la transversalidad de la acción pública de las entidades y dependencias  mediante la alineación de sus programas en observancia de los principios rectores de la administración estatal para el desarrollo integral del Estado y el bienestar de la población michoacana.</w:t>
            </w:r>
          </w:p>
        </w:tc>
      </w:tr>
      <w:tr w:rsidR="00624ED2" w:rsidRPr="00EB4B09" w14:paraId="4806E571" w14:textId="77777777" w:rsidTr="00EB4B09">
        <w:trPr>
          <w:jc w:val="center"/>
        </w:trPr>
        <w:tc>
          <w:tcPr>
            <w:tcW w:w="9072" w:type="dxa"/>
            <w:shd w:val="clear" w:color="auto" w:fill="auto"/>
          </w:tcPr>
          <w:p w14:paraId="26954864" w14:textId="77777777" w:rsidR="00624ED2" w:rsidRPr="00EB4B09" w:rsidRDefault="00624ED2" w:rsidP="00624ED2">
            <w:pPr>
              <w:tabs>
                <w:tab w:val="left" w:pos="884"/>
              </w:tabs>
              <w:ind w:left="2161" w:hanging="992"/>
              <w:jc w:val="both"/>
              <w:rPr>
                <w:rFonts w:ascii="MyriadPro-Regular" w:hAnsi="MyriadPro-Regular"/>
                <w:lang w:val="es-ES" w:eastAsia="es-ES"/>
              </w:rPr>
            </w:pPr>
            <w:r w:rsidRPr="00EB4B09">
              <w:rPr>
                <w:rFonts w:ascii="MyriadPro-Regular" w:hAnsi="MyriadPro-Regular"/>
                <w:lang w:val="es-ES" w:eastAsia="es-ES"/>
              </w:rPr>
              <w:t>9.4.2.3 Fortalecer el desarrollo de los municipios, regiones y sectores mediante el diseño y desarrollo de proyectos estratégicos y la constante alimentación del inventario de programas, proyectos, obras e inversiones.</w:t>
            </w:r>
          </w:p>
        </w:tc>
      </w:tr>
      <w:tr w:rsidR="00624ED2" w:rsidRPr="00EB4B09" w14:paraId="5F485BB7" w14:textId="77777777" w:rsidTr="00EB4B09">
        <w:trPr>
          <w:jc w:val="center"/>
        </w:trPr>
        <w:tc>
          <w:tcPr>
            <w:tcW w:w="9072" w:type="dxa"/>
            <w:shd w:val="clear" w:color="auto" w:fill="auto"/>
          </w:tcPr>
          <w:p w14:paraId="4B9CF3F8" w14:textId="77777777" w:rsidR="00624ED2" w:rsidRPr="00EB4B09" w:rsidRDefault="00624ED2" w:rsidP="00624ED2">
            <w:pPr>
              <w:ind w:left="2161" w:hanging="992"/>
              <w:contextualSpacing/>
              <w:jc w:val="both"/>
              <w:rPr>
                <w:rFonts w:ascii="MyriadPro-Regular" w:hAnsi="MyriadPro-Regular"/>
                <w:lang w:val="es-ES" w:eastAsia="es-ES"/>
              </w:rPr>
            </w:pPr>
            <w:r w:rsidRPr="00EB4B09">
              <w:rPr>
                <w:rFonts w:ascii="MyriadPro-Regular" w:hAnsi="MyriadPro-Regular"/>
                <w:lang w:val="es-ES" w:eastAsia="es-ES"/>
              </w:rPr>
              <w:t>9.4.2.4 Dar seguimiento  a la alineación y asignación de programas y subprogramas presupuestarios congruentes con la estructura orgánica y ordenadores de clasificadores de armonización contable  que coadyuven al desarrollo integral del Estado.</w:t>
            </w:r>
          </w:p>
        </w:tc>
      </w:tr>
      <w:tr w:rsidR="00624ED2" w:rsidRPr="00EB4B09" w14:paraId="15D77D0A" w14:textId="77777777" w:rsidTr="00EB4B09">
        <w:trPr>
          <w:jc w:val="center"/>
        </w:trPr>
        <w:tc>
          <w:tcPr>
            <w:tcW w:w="9072" w:type="dxa"/>
            <w:shd w:val="clear" w:color="auto" w:fill="auto"/>
          </w:tcPr>
          <w:p w14:paraId="75F36786" w14:textId="77777777" w:rsidR="00624ED2" w:rsidRPr="00EB4B09" w:rsidRDefault="00624ED2" w:rsidP="00624ED2">
            <w:pPr>
              <w:ind w:left="2161" w:hanging="992"/>
              <w:contextualSpacing/>
              <w:jc w:val="both"/>
              <w:rPr>
                <w:rFonts w:ascii="MyriadPro-Regular" w:hAnsi="MyriadPro-Regular"/>
                <w:lang w:val="es-ES" w:eastAsia="es-ES"/>
              </w:rPr>
            </w:pPr>
            <w:r w:rsidRPr="00EB4B09">
              <w:rPr>
                <w:rFonts w:ascii="MyriadPro-Regular" w:hAnsi="MyriadPro-Regular"/>
                <w:lang w:val="es-ES" w:eastAsia="es-ES"/>
              </w:rPr>
              <w:t>9.4.2.5 Evaluar y monitorear el sistema estatal  de indicadores y su integración y comportamiento en los programas presupuestarios con base en la metodología de marco lógico.</w:t>
            </w:r>
          </w:p>
        </w:tc>
      </w:tr>
      <w:tr w:rsidR="00624ED2" w:rsidRPr="00EB4B09" w14:paraId="0A9EF759" w14:textId="77777777" w:rsidTr="00EB4B09">
        <w:trPr>
          <w:jc w:val="center"/>
        </w:trPr>
        <w:tc>
          <w:tcPr>
            <w:tcW w:w="9072" w:type="dxa"/>
            <w:shd w:val="clear" w:color="auto" w:fill="auto"/>
          </w:tcPr>
          <w:p w14:paraId="06E497C4" w14:textId="77777777" w:rsidR="00624ED2" w:rsidRPr="00EB4B09" w:rsidRDefault="00624ED2" w:rsidP="00624ED2">
            <w:pPr>
              <w:tabs>
                <w:tab w:val="left" w:pos="884"/>
              </w:tabs>
              <w:ind w:left="2161" w:hanging="992"/>
              <w:contextualSpacing/>
              <w:jc w:val="both"/>
              <w:rPr>
                <w:rFonts w:ascii="MyriadPro-Regular" w:hAnsi="MyriadPro-Regular"/>
                <w:lang w:val="es-ES" w:eastAsia="es-ES"/>
              </w:rPr>
            </w:pPr>
            <w:r w:rsidRPr="00EB4B09">
              <w:rPr>
                <w:rFonts w:ascii="MyriadPro-Regular" w:hAnsi="MyriadPro-Regular"/>
                <w:lang w:val="es-ES" w:eastAsia="es-ES"/>
              </w:rPr>
              <w:t>9.4.2.6 Establecer mecanismos e instrumentos  facilitadores para el registro y revisión  del presupuesto estatal alineados a las prioridades transversales, objetivos estratégicos, y metas establecidas en el Plan de Desarrollo Integral del Estado.</w:t>
            </w:r>
          </w:p>
        </w:tc>
      </w:tr>
    </w:tbl>
    <w:p w14:paraId="0F83CD34" w14:textId="4D2577A5" w:rsidR="00624ED2" w:rsidRPr="0027563C" w:rsidRDefault="00624ED2" w:rsidP="00624ED2">
      <w:pPr>
        <w:autoSpaceDE w:val="0"/>
        <w:autoSpaceDN w:val="0"/>
        <w:adjustRightInd w:val="0"/>
        <w:spacing w:after="0" w:line="240" w:lineRule="auto"/>
        <w:ind w:firstLine="993"/>
        <w:rPr>
          <w:rFonts w:ascii="GalanoGrotesque-Medium" w:eastAsia="Times New Roman" w:hAnsi="GalanoGrotesque-Medium" w:cs="Arial"/>
          <w:color w:val="000000"/>
          <w:sz w:val="20"/>
          <w:szCs w:val="20"/>
          <w:lang w:eastAsia="es-MX"/>
        </w:rPr>
      </w:pPr>
    </w:p>
    <w:p w14:paraId="4E63FC63" w14:textId="77777777" w:rsidR="00624ED2" w:rsidRDefault="00624ED2" w:rsidP="00624ED2">
      <w:pPr>
        <w:keepNext/>
        <w:spacing w:before="240" w:after="60" w:line="240" w:lineRule="auto"/>
        <w:outlineLvl w:val="0"/>
        <w:rPr>
          <w:rFonts w:ascii="GalanoGrotesque-Medium" w:eastAsia="Times New Roman" w:hAnsi="GalanoGrotesque-Medium" w:cs="Arial"/>
          <w:b/>
          <w:bCs/>
          <w:kern w:val="32"/>
          <w:sz w:val="32"/>
          <w:szCs w:val="32"/>
          <w:lang w:val="es-ES" w:eastAsia="es-ES"/>
        </w:rPr>
        <w:sectPr w:rsidR="00624ED2" w:rsidSect="00680FD0">
          <w:footnotePr>
            <w:numStart w:val="4"/>
          </w:footnotePr>
          <w:type w:val="continuous"/>
          <w:pgSz w:w="12240" w:h="15840"/>
          <w:pgMar w:top="1418" w:right="1134" w:bottom="1418" w:left="1134" w:header="709" w:footer="709" w:gutter="0"/>
          <w:cols w:space="567"/>
          <w:docGrid w:linePitch="360"/>
        </w:sectPr>
      </w:pPr>
      <w:bookmarkStart w:id="25" w:name="_Toc455045720"/>
    </w:p>
    <w:p w14:paraId="6CD63A27" w14:textId="77777777" w:rsidR="00EB4B09" w:rsidRDefault="00EB4B09">
      <w:pPr>
        <w:rPr>
          <w:rFonts w:ascii="GalanoGrotesque-Medium" w:eastAsia="Times New Roman" w:hAnsi="GalanoGrotesque-Medium" w:cs="Arial"/>
          <w:b/>
          <w:bCs/>
          <w:kern w:val="32"/>
          <w:sz w:val="32"/>
          <w:szCs w:val="32"/>
          <w:lang w:val="es-ES" w:eastAsia="es-ES"/>
        </w:rPr>
      </w:pPr>
      <w:r>
        <w:rPr>
          <w:rFonts w:ascii="GalanoGrotesque-Medium" w:eastAsia="Times New Roman" w:hAnsi="GalanoGrotesque-Medium" w:cs="Arial"/>
          <w:b/>
          <w:bCs/>
          <w:kern w:val="32"/>
          <w:sz w:val="32"/>
          <w:szCs w:val="32"/>
          <w:lang w:val="es-ES" w:eastAsia="es-ES"/>
        </w:rPr>
        <w:lastRenderedPageBreak/>
        <w:br w:type="page"/>
      </w:r>
    </w:p>
    <w:p w14:paraId="7181E25A" w14:textId="77777777" w:rsidR="00624ED2" w:rsidRPr="005C76BD" w:rsidRDefault="00624ED2" w:rsidP="00EB4B09">
      <w:pPr>
        <w:keepNext/>
        <w:spacing w:after="0" w:line="280" w:lineRule="exact"/>
        <w:outlineLvl w:val="0"/>
        <w:rPr>
          <w:rFonts w:ascii="GalanoGrotesque-Medium" w:eastAsia="Times New Roman" w:hAnsi="GalanoGrotesque-Medium" w:cs="Arial"/>
          <w:b/>
          <w:bCs/>
          <w:kern w:val="32"/>
          <w:sz w:val="32"/>
          <w:szCs w:val="32"/>
          <w:lang w:val="es-ES" w:eastAsia="es-ES"/>
        </w:rPr>
      </w:pPr>
      <w:bookmarkStart w:id="26" w:name="_Toc458015646"/>
      <w:r w:rsidRPr="005C76BD">
        <w:rPr>
          <w:rFonts w:ascii="GalanoGrotesque-Medium" w:eastAsia="Times New Roman" w:hAnsi="GalanoGrotesque-Medium" w:cs="Arial"/>
          <w:b/>
          <w:bCs/>
          <w:kern w:val="32"/>
          <w:sz w:val="32"/>
          <w:szCs w:val="32"/>
          <w:lang w:val="es-ES" w:eastAsia="es-ES"/>
        </w:rPr>
        <w:lastRenderedPageBreak/>
        <w:t>Evaluación, monitoreo y seguimiento.</w:t>
      </w:r>
      <w:bookmarkEnd w:id="25"/>
      <w:bookmarkEnd w:id="26"/>
    </w:p>
    <w:p w14:paraId="1ED57E06" w14:textId="77777777" w:rsidR="00EB4B09" w:rsidRDefault="00EB4B09" w:rsidP="00EB4B09">
      <w:pPr>
        <w:spacing w:after="0"/>
        <w:jc w:val="both"/>
        <w:rPr>
          <w:rFonts w:ascii="GalanoGrotesque-Medium" w:eastAsia="Times New Roman" w:hAnsi="GalanoGrotesque-Medium" w:cs="Arial"/>
          <w:color w:val="000000" w:themeColor="text1"/>
          <w:sz w:val="24"/>
          <w:szCs w:val="24"/>
          <w:lang w:val="es-ES" w:eastAsia="es-ES"/>
        </w:rPr>
      </w:pPr>
    </w:p>
    <w:p w14:paraId="7F50723C" w14:textId="77777777" w:rsidR="00624ED2" w:rsidRPr="00954EE2" w:rsidRDefault="00624ED2" w:rsidP="00EB4B09">
      <w:pPr>
        <w:spacing w:after="120" w:line="240" w:lineRule="exact"/>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Una de las premisas fundamentales de este gobierno es lograr cambios significativos en poco tiempo en el desarrollo estatal, como resultado de la innovación y la eficacia de políticas públicas alineadas, eficaces y pertinentes.</w:t>
      </w:r>
    </w:p>
    <w:p w14:paraId="4C3B61A1" w14:textId="77777777" w:rsidR="00624ED2" w:rsidRPr="00954EE2" w:rsidRDefault="00624ED2" w:rsidP="00EB4B09">
      <w:pPr>
        <w:spacing w:after="120" w:line="240" w:lineRule="exact"/>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Así, el PLADIEM 2015-2021 establece la visión de futuro a mediano plazo, propone las estrategias y acciones para alcanzarla y define indicadores que permiten medir el avance en ese camino.</w:t>
      </w:r>
    </w:p>
    <w:p w14:paraId="1D1D44D1" w14:textId="77777777" w:rsidR="00624ED2" w:rsidRPr="00954EE2" w:rsidRDefault="00624ED2" w:rsidP="00EB4B09">
      <w:pPr>
        <w:spacing w:after="120" w:line="240" w:lineRule="exact"/>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El monitoreo y la evaluación son instrumentos esenciales en la construcción de ese futuro. Contribuyen para la toma de decisiones a corto y mediano plazo y configuran una fuente esencial de aprendizaje para los responsables de las políticas públicas.</w:t>
      </w:r>
    </w:p>
    <w:p w14:paraId="06E5CBEA" w14:textId="77777777" w:rsidR="00624ED2" w:rsidRPr="00954EE2" w:rsidRDefault="00624ED2" w:rsidP="00EB4B09">
      <w:pPr>
        <w:spacing w:after="120" w:line="240" w:lineRule="exact"/>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 xml:space="preserve">La base de estos instrumentos es el despliegue de indicadores en varios niveles de agregación e impacto, que interrelacionan las obras y acciones ejecutadas por las dependencias y entidades con los grandes objetivos planteados en esta hoja de ruta, mediante la metodología de Marco Lógico. </w:t>
      </w:r>
    </w:p>
    <w:p w14:paraId="38CC7626" w14:textId="77777777" w:rsidR="00624ED2" w:rsidRPr="00954EE2" w:rsidRDefault="00624ED2" w:rsidP="00EB4B09">
      <w:pPr>
        <w:spacing w:after="120" w:line="240" w:lineRule="exact"/>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 xml:space="preserve">El monitoreo es un proceso sistemático que permite evaluar el progreso periódico de indicadores de impacto en el cumplimiento de los objetivos de este instrumento de planeación. Esto permitirá mejorar la gestión institucional y contar con información confiable y suficiente para la toma de decisiones; además de ayudar a la implementación de los programas y las actividades en curso del gobierno, suministrando información sobre su eficiencia. También, ofrece la posibilidad de identificar a tiempo desviaciones y poder ejecutar cursos de acción que </w:t>
      </w:r>
      <w:r w:rsidRPr="00954EE2">
        <w:rPr>
          <w:rFonts w:ascii="MyriadPro-Regular" w:hAnsi="MyriadPro-Regular" w:cs="MyriadPro-Regular"/>
          <w:color w:val="414142"/>
          <w:sz w:val="20"/>
          <w:szCs w:val="20"/>
        </w:rPr>
        <w:lastRenderedPageBreak/>
        <w:t>permitan eliminar o minimizar estas variaciones, así como fortalecer la rendición de cuentas.</w:t>
      </w:r>
    </w:p>
    <w:p w14:paraId="16DD54BE" w14:textId="77777777" w:rsidR="00624ED2" w:rsidRPr="00954EE2" w:rsidRDefault="00624ED2" w:rsidP="00EB4B09">
      <w:pPr>
        <w:spacing w:after="240" w:line="240" w:lineRule="exact"/>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La evaluación, constituye un proceso de generación de conocimiento sistemático, razonado y objetivo, mediante análisis a intervalos definidos, normalmente al final de un ejercicio fiscal, que tiene como finalidad determinar la pertinencia y el logro de sus objetivos, así como su eficiencia, eficacia, resultados, impacto y sostenibilidad de las intervenciones públicas.</w:t>
      </w:r>
    </w:p>
    <w:p w14:paraId="4408B4B2" w14:textId="77777777" w:rsidR="00624ED2" w:rsidRPr="00954EE2" w:rsidRDefault="00624ED2" w:rsidP="00EB4B09">
      <w:pPr>
        <w:spacing w:after="240" w:line="240" w:lineRule="exact"/>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Con este propósito el PLADIEM incorpora indicadores de impacto que se establecen para cada una de las nueve prioridades, lo que permite observar el comportamiento en cada dimensión socioeconómica del Estado a lo largo de la administración, favoreciendo el aprendizaje en cada ciclo, para modificar o eliminar lo que no funcione y para fortalecer lo que sí.</w:t>
      </w:r>
    </w:p>
    <w:p w14:paraId="1D08E8EF" w14:textId="77777777" w:rsidR="00624ED2" w:rsidRPr="00954EE2" w:rsidRDefault="00624ED2" w:rsidP="00EB4B09">
      <w:pPr>
        <w:spacing w:after="240" w:line="240" w:lineRule="exact"/>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La principal característica de estos indicadores es su objetividad, generados por instituciones de reconocimiento nacional e internacional independientes al gobierno, integrando rigor técnico en su diseño y levantamiento en campo. Son comparables entre entidades federativas, y muchos de ellos se utilizan a nivel internacional.</w:t>
      </w:r>
    </w:p>
    <w:p w14:paraId="79DCCB3F" w14:textId="77777777" w:rsidR="00624ED2" w:rsidRDefault="00624ED2" w:rsidP="00EB4B09">
      <w:pPr>
        <w:spacing w:after="240" w:line="240" w:lineRule="exact"/>
        <w:jc w:val="both"/>
        <w:rPr>
          <w:rFonts w:ascii="MyriadPro-Regular" w:hAnsi="MyriadPro-Regular" w:cs="MyriadPro-Regular"/>
          <w:color w:val="414142"/>
          <w:sz w:val="20"/>
          <w:szCs w:val="20"/>
        </w:rPr>
      </w:pPr>
      <w:r w:rsidRPr="00954EE2">
        <w:rPr>
          <w:rFonts w:ascii="MyriadPro-Regular" w:hAnsi="MyriadPro-Regular" w:cs="MyriadPro-Regular"/>
          <w:color w:val="414142"/>
          <w:sz w:val="20"/>
          <w:szCs w:val="20"/>
        </w:rPr>
        <w:t>A partir de la publicación del PLADIEM y de los distintos Programas Sectoriales, Institucionales, Regionales y Especiales que lo complementarán, el Gobierno del Estado de Michoacán comenzará a medir los resultados que se vayan obteniendo de acuerdo a los indicadores expuestos y los dará a conocer en forma sistémica a la sociedad.</w:t>
      </w:r>
    </w:p>
    <w:p w14:paraId="266E3975" w14:textId="77777777" w:rsidR="00624ED2" w:rsidRPr="00624ED2" w:rsidRDefault="00624ED2" w:rsidP="00624ED2">
      <w:pPr>
        <w:spacing w:after="240"/>
        <w:rPr>
          <w:rFonts w:ascii="GalanoGrotesque-Medium" w:eastAsia="Times New Roman" w:hAnsi="GalanoGrotesque-Medium" w:cs="Arial"/>
          <w:color w:val="000000" w:themeColor="text1"/>
          <w:sz w:val="24"/>
          <w:szCs w:val="24"/>
          <w:lang w:val="es-ES" w:eastAsia="es-ES"/>
        </w:rPr>
      </w:pPr>
    </w:p>
    <w:p w14:paraId="6D9F03DC" w14:textId="77777777" w:rsidR="00624ED2" w:rsidRDefault="00624ED2" w:rsidP="00680FD0">
      <w:pPr>
        <w:tabs>
          <w:tab w:val="left" w:pos="1521"/>
        </w:tabs>
        <w:spacing w:after="240"/>
        <w:jc w:val="both"/>
        <w:rPr>
          <w:rFonts w:ascii="GalanoGrotesque-Medium" w:eastAsia="Times New Roman" w:hAnsi="GalanoGrotesque-Medium" w:cs="Arial"/>
          <w:sz w:val="24"/>
          <w:szCs w:val="24"/>
          <w:lang w:val="es-ES" w:eastAsia="es-ES"/>
        </w:rPr>
        <w:sectPr w:rsidR="00624ED2" w:rsidSect="00EB4B09">
          <w:footnotePr>
            <w:numStart w:val="4"/>
          </w:footnotePr>
          <w:type w:val="continuous"/>
          <w:pgSz w:w="12240" w:h="15840"/>
          <w:pgMar w:top="1418" w:right="1134" w:bottom="1418" w:left="1134" w:header="709" w:footer="709" w:gutter="0"/>
          <w:cols w:num="2" w:space="567"/>
          <w:docGrid w:linePitch="360"/>
        </w:sectPr>
      </w:pPr>
    </w:p>
    <w:p w14:paraId="0863FE45" w14:textId="77777777" w:rsidR="00680FD0" w:rsidRDefault="00680FD0" w:rsidP="00680FD0">
      <w:pPr>
        <w:tabs>
          <w:tab w:val="left" w:pos="1521"/>
        </w:tabs>
        <w:spacing w:after="240"/>
        <w:jc w:val="both"/>
        <w:rPr>
          <w:rFonts w:ascii="GalanoGrotesque-Medium" w:eastAsia="Times New Roman" w:hAnsi="GalanoGrotesque-Medium" w:cs="Arial"/>
          <w:sz w:val="24"/>
          <w:szCs w:val="24"/>
          <w:lang w:val="es-ES" w:eastAsia="es-ES"/>
        </w:rPr>
      </w:pPr>
    </w:p>
    <w:p w14:paraId="7F1E4D8B" w14:textId="77777777" w:rsidR="00680FD0" w:rsidRDefault="00680FD0" w:rsidP="00680FD0">
      <w:pPr>
        <w:tabs>
          <w:tab w:val="left" w:pos="1521"/>
        </w:tabs>
        <w:spacing w:after="240"/>
        <w:jc w:val="both"/>
        <w:rPr>
          <w:rFonts w:ascii="GalanoGrotesque-Medium" w:eastAsia="Times New Roman" w:hAnsi="GalanoGrotesque-Medium" w:cs="Arial"/>
          <w:sz w:val="24"/>
          <w:szCs w:val="24"/>
          <w:lang w:val="es-ES" w:eastAsia="es-ES"/>
        </w:rPr>
      </w:pPr>
    </w:p>
    <w:p w14:paraId="4891BB57" w14:textId="77777777" w:rsidR="00D918D3" w:rsidRDefault="00D918D3" w:rsidP="00DD5802">
      <w:pPr>
        <w:autoSpaceDE w:val="0"/>
        <w:autoSpaceDN w:val="0"/>
        <w:adjustRightInd w:val="0"/>
        <w:spacing w:after="0" w:line="240" w:lineRule="auto"/>
        <w:jc w:val="center"/>
        <w:rPr>
          <w:rFonts w:ascii="GalanoGrotesque-Black" w:hAnsi="GalanoGrotesque-Black" w:cs="GalanoGrotesque-Black"/>
          <w:color w:val="414142"/>
          <w:sz w:val="52"/>
          <w:szCs w:val="52"/>
        </w:rPr>
      </w:pPr>
      <w:r>
        <w:rPr>
          <w:rFonts w:ascii="GalanoGrotesque-Black" w:hAnsi="GalanoGrotesque-Black" w:cs="GalanoGrotesque-Black"/>
          <w:color w:val="414142"/>
          <w:sz w:val="52"/>
          <w:szCs w:val="52"/>
        </w:rPr>
        <w:br w:type="page"/>
      </w:r>
    </w:p>
    <w:p w14:paraId="19CCDD89" w14:textId="77777777" w:rsidR="00DD5802" w:rsidRDefault="00DD5802" w:rsidP="00DD5802">
      <w:pPr>
        <w:autoSpaceDE w:val="0"/>
        <w:autoSpaceDN w:val="0"/>
        <w:adjustRightInd w:val="0"/>
        <w:spacing w:after="0" w:line="240" w:lineRule="auto"/>
        <w:jc w:val="center"/>
        <w:rPr>
          <w:rFonts w:ascii="GalanoGrotesque-Black" w:hAnsi="GalanoGrotesque-Black" w:cs="GalanoGrotesque-Black"/>
          <w:color w:val="414142"/>
          <w:sz w:val="52"/>
          <w:szCs w:val="52"/>
        </w:rPr>
      </w:pPr>
    </w:p>
    <w:p w14:paraId="635B9DF2" w14:textId="77777777" w:rsidR="00D918D3" w:rsidRDefault="00D918D3" w:rsidP="00DD5802">
      <w:pPr>
        <w:autoSpaceDE w:val="0"/>
        <w:autoSpaceDN w:val="0"/>
        <w:adjustRightInd w:val="0"/>
        <w:spacing w:after="0" w:line="240" w:lineRule="auto"/>
        <w:jc w:val="center"/>
        <w:rPr>
          <w:rFonts w:ascii="GalanoGrotesque-Black" w:hAnsi="GalanoGrotesque-Black" w:cs="GalanoGrotesque-Black"/>
          <w:color w:val="414142"/>
          <w:sz w:val="52"/>
          <w:szCs w:val="52"/>
        </w:rPr>
      </w:pPr>
    </w:p>
    <w:p w14:paraId="4CC72A33" w14:textId="77777777" w:rsidR="00D918D3" w:rsidRDefault="00D918D3" w:rsidP="00DD5802">
      <w:pPr>
        <w:autoSpaceDE w:val="0"/>
        <w:autoSpaceDN w:val="0"/>
        <w:adjustRightInd w:val="0"/>
        <w:spacing w:after="0" w:line="240" w:lineRule="auto"/>
        <w:jc w:val="center"/>
        <w:rPr>
          <w:rFonts w:ascii="GalanoGrotesque-Black" w:hAnsi="GalanoGrotesque-Black" w:cs="GalanoGrotesque-Black"/>
          <w:color w:val="414142"/>
          <w:sz w:val="52"/>
          <w:szCs w:val="52"/>
        </w:rPr>
      </w:pPr>
    </w:p>
    <w:p w14:paraId="0FAAC5D7" w14:textId="77777777" w:rsidR="00D918D3" w:rsidRDefault="00D918D3" w:rsidP="00DD5802">
      <w:pPr>
        <w:autoSpaceDE w:val="0"/>
        <w:autoSpaceDN w:val="0"/>
        <w:adjustRightInd w:val="0"/>
        <w:spacing w:after="0" w:line="240" w:lineRule="auto"/>
        <w:jc w:val="center"/>
        <w:rPr>
          <w:rFonts w:ascii="GalanoGrotesque-Black" w:hAnsi="GalanoGrotesque-Black" w:cs="GalanoGrotesque-Black"/>
          <w:color w:val="414142"/>
          <w:sz w:val="52"/>
          <w:szCs w:val="52"/>
        </w:rPr>
      </w:pPr>
    </w:p>
    <w:p w14:paraId="25747E62" w14:textId="77777777" w:rsidR="00C202AC" w:rsidRDefault="00C202AC" w:rsidP="00C202AC">
      <w:pPr>
        <w:autoSpaceDE w:val="0"/>
        <w:autoSpaceDN w:val="0"/>
        <w:adjustRightInd w:val="0"/>
        <w:spacing w:after="0" w:line="500" w:lineRule="exact"/>
        <w:jc w:val="center"/>
        <w:rPr>
          <w:rFonts w:ascii="GalanoGrotesque-Black" w:hAnsi="GalanoGrotesque-Black" w:cs="GalanoGrotesque-Black"/>
          <w:color w:val="414142"/>
          <w:sz w:val="52"/>
          <w:szCs w:val="52"/>
        </w:rPr>
      </w:pPr>
    </w:p>
    <w:p w14:paraId="01212EB3" w14:textId="77777777" w:rsidR="00DD5802" w:rsidRPr="00F32CC0" w:rsidRDefault="00DD5802" w:rsidP="00C202AC">
      <w:pPr>
        <w:autoSpaceDE w:val="0"/>
        <w:autoSpaceDN w:val="0"/>
        <w:adjustRightInd w:val="0"/>
        <w:spacing w:after="0" w:line="500" w:lineRule="exact"/>
        <w:jc w:val="center"/>
        <w:rPr>
          <w:rFonts w:ascii="GalanoGrotesque-Black" w:hAnsi="GalanoGrotesque-Black" w:cs="GalanoGrotesque-Black"/>
          <w:b/>
          <w:color w:val="414142"/>
          <w:sz w:val="52"/>
          <w:szCs w:val="52"/>
        </w:rPr>
      </w:pPr>
      <w:r w:rsidRPr="00F32CC0">
        <w:rPr>
          <w:rFonts w:ascii="GalanoGrotesque-Medium" w:eastAsia="Times New Roman" w:hAnsi="GalanoGrotesque-Medium" w:cs="Arial"/>
          <w:b/>
          <w:noProof/>
          <w:sz w:val="24"/>
          <w:szCs w:val="24"/>
          <w:lang w:val="es-ES" w:eastAsia="es-ES"/>
        </w:rPr>
        <w:drawing>
          <wp:anchor distT="0" distB="0" distL="114300" distR="114300" simplePos="0" relativeHeight="251653628" behindDoc="0" locked="0" layoutInCell="1" allowOverlap="1" wp14:anchorId="139ACC32" wp14:editId="3498688A">
            <wp:simplePos x="0" y="0"/>
            <wp:positionH relativeFrom="page">
              <wp:posOffset>19050</wp:posOffset>
            </wp:positionH>
            <wp:positionV relativeFrom="page">
              <wp:posOffset>7143318</wp:posOffset>
            </wp:positionV>
            <wp:extent cx="7721600" cy="2906828"/>
            <wp:effectExtent l="0" t="0" r="0" b="8255"/>
            <wp:wrapNone/>
            <wp:docPr id="43027" name="Imagen 4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7" name="Imagen.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733973" cy="2911486"/>
                    </a:xfrm>
                    <a:prstGeom prst="rect">
                      <a:avLst/>
                    </a:prstGeom>
                  </pic:spPr>
                </pic:pic>
              </a:graphicData>
            </a:graphic>
            <wp14:sizeRelH relativeFrom="margin">
              <wp14:pctWidth>0</wp14:pctWidth>
            </wp14:sizeRelH>
            <wp14:sizeRelV relativeFrom="margin">
              <wp14:pctHeight>0</wp14:pctHeight>
            </wp14:sizeRelV>
          </wp:anchor>
        </w:drawing>
      </w:r>
      <w:r w:rsidRPr="00F32CC0">
        <w:rPr>
          <w:rFonts w:ascii="GalanoGrotesque-Black" w:hAnsi="GalanoGrotesque-Black" w:cs="GalanoGrotesque-Black"/>
          <w:b/>
          <w:color w:val="414142"/>
          <w:sz w:val="52"/>
          <w:szCs w:val="52"/>
        </w:rPr>
        <w:t>Plan de Desarrollo</w:t>
      </w:r>
    </w:p>
    <w:p w14:paraId="71094C3C" w14:textId="77777777" w:rsidR="00DD5802" w:rsidRPr="00F32CC0" w:rsidRDefault="00DD5802" w:rsidP="00C202AC">
      <w:pPr>
        <w:autoSpaceDE w:val="0"/>
        <w:autoSpaceDN w:val="0"/>
        <w:adjustRightInd w:val="0"/>
        <w:spacing w:after="0" w:line="500" w:lineRule="exact"/>
        <w:jc w:val="center"/>
        <w:rPr>
          <w:rFonts w:ascii="GalanoGrotesque-Black" w:hAnsi="GalanoGrotesque-Black" w:cs="GalanoGrotesque-Black"/>
          <w:b/>
          <w:color w:val="414142"/>
          <w:sz w:val="52"/>
          <w:szCs w:val="52"/>
        </w:rPr>
      </w:pPr>
      <w:r w:rsidRPr="00F32CC0">
        <w:rPr>
          <w:rFonts w:ascii="GalanoGrotesque-Black" w:hAnsi="GalanoGrotesque-Black" w:cs="GalanoGrotesque-Black"/>
          <w:b/>
          <w:color w:val="414142"/>
          <w:sz w:val="52"/>
          <w:szCs w:val="52"/>
        </w:rPr>
        <w:t>Integral del Estado de</w:t>
      </w:r>
    </w:p>
    <w:p w14:paraId="0CBE9762" w14:textId="77777777" w:rsidR="00DD5802" w:rsidRPr="00F32CC0" w:rsidRDefault="00DD5802" w:rsidP="00C202AC">
      <w:pPr>
        <w:spacing w:after="0" w:line="500" w:lineRule="exact"/>
        <w:jc w:val="center"/>
        <w:rPr>
          <w:rFonts w:ascii="GalanoGrotesque-Medium" w:eastAsia="Times New Roman" w:hAnsi="GalanoGrotesque-Medium" w:cs="Arial"/>
          <w:b/>
          <w:sz w:val="24"/>
          <w:szCs w:val="24"/>
          <w:lang w:val="es-ES" w:eastAsia="es-ES"/>
        </w:rPr>
        <w:sectPr w:rsidR="00DD5802" w:rsidRPr="00F32CC0" w:rsidSect="00680FD0">
          <w:footnotePr>
            <w:numStart w:val="4"/>
          </w:footnotePr>
          <w:type w:val="continuous"/>
          <w:pgSz w:w="12240" w:h="15840"/>
          <w:pgMar w:top="1418" w:right="1134" w:bottom="1418" w:left="1134" w:header="709" w:footer="709" w:gutter="0"/>
          <w:cols w:space="567"/>
          <w:docGrid w:linePitch="360"/>
        </w:sectPr>
      </w:pPr>
      <w:r w:rsidRPr="00F32CC0">
        <w:rPr>
          <w:rFonts w:ascii="GalanoGrotesque-Black" w:hAnsi="GalanoGrotesque-Black" w:cs="GalanoGrotesque-Black"/>
          <w:b/>
          <w:color w:val="414142"/>
          <w:sz w:val="52"/>
          <w:szCs w:val="52"/>
        </w:rPr>
        <w:t>Michoacán 2015 - 2021</w:t>
      </w:r>
    </w:p>
    <w:p w14:paraId="06C233BE" w14:textId="77777777" w:rsidR="00DD5802" w:rsidRDefault="00DD5802" w:rsidP="00DD5802">
      <w:pPr>
        <w:autoSpaceDE w:val="0"/>
        <w:autoSpaceDN w:val="0"/>
        <w:adjustRightInd w:val="0"/>
        <w:spacing w:after="0" w:line="240" w:lineRule="auto"/>
        <w:rPr>
          <w:rFonts w:ascii="GalanoGrotesque-Black" w:hAnsi="GalanoGrotesque-Black" w:cs="GalanoGrotesque-Black"/>
          <w:color w:val="414142"/>
          <w:sz w:val="52"/>
          <w:szCs w:val="52"/>
        </w:rPr>
      </w:pPr>
      <w:r>
        <w:rPr>
          <w:rFonts w:ascii="GalanoGrotesque-Black" w:hAnsi="GalanoGrotesque-Black"/>
        </w:rPr>
        <w:lastRenderedPageBreak/>
        <w:br w:type="page"/>
      </w:r>
      <w:r>
        <w:rPr>
          <w:rFonts w:ascii="GalanoGrotesque-Black" w:hAnsi="GalanoGrotesque-Black" w:cs="GalanoGrotesque-Black"/>
          <w:color w:val="414142"/>
          <w:sz w:val="52"/>
          <w:szCs w:val="52"/>
        </w:rPr>
        <w:lastRenderedPageBreak/>
        <w:t>Plan de Desarrollo</w:t>
      </w:r>
    </w:p>
    <w:p w14:paraId="6347A8C8" w14:textId="77777777" w:rsidR="00DD5802" w:rsidRDefault="00DD5802" w:rsidP="00DD5802">
      <w:pPr>
        <w:autoSpaceDE w:val="0"/>
        <w:autoSpaceDN w:val="0"/>
        <w:adjustRightInd w:val="0"/>
        <w:spacing w:after="0" w:line="240" w:lineRule="auto"/>
        <w:rPr>
          <w:rFonts w:ascii="GalanoGrotesque-Black" w:hAnsi="GalanoGrotesque-Black" w:cs="GalanoGrotesque-Black"/>
          <w:color w:val="414142"/>
          <w:sz w:val="52"/>
          <w:szCs w:val="52"/>
        </w:rPr>
      </w:pPr>
      <w:r>
        <w:rPr>
          <w:rFonts w:ascii="GalanoGrotesque-Black" w:hAnsi="GalanoGrotesque-Black" w:cs="GalanoGrotesque-Black"/>
          <w:color w:val="414142"/>
          <w:sz w:val="52"/>
          <w:szCs w:val="52"/>
        </w:rPr>
        <w:t>Integral del Estado de</w:t>
      </w:r>
    </w:p>
    <w:p w14:paraId="4F22F9AA" w14:textId="77777777" w:rsidR="00DD5802" w:rsidRDefault="00DD5802" w:rsidP="00DD5802">
      <w:pPr>
        <w:tabs>
          <w:tab w:val="left" w:pos="4408"/>
        </w:tabs>
        <w:rPr>
          <w:rFonts w:ascii="GalanoGrotesque-Black" w:hAnsi="GalanoGrotesque-Black"/>
        </w:rPr>
      </w:pPr>
      <w:r>
        <w:rPr>
          <w:rFonts w:ascii="GalanoGrotesque-Black" w:hAnsi="GalanoGrotesque-Black" w:cs="GalanoGrotesque-Black"/>
          <w:color w:val="414142"/>
          <w:sz w:val="52"/>
          <w:szCs w:val="52"/>
        </w:rPr>
        <w:t>Michoacán 2015 - 2021</w:t>
      </w:r>
    </w:p>
    <w:p w14:paraId="0BD0D603" w14:textId="235B9352" w:rsidR="00EF5C69" w:rsidRPr="00393342" w:rsidRDefault="00DD5802" w:rsidP="00393342">
      <w:pPr>
        <w:tabs>
          <w:tab w:val="left" w:pos="4408"/>
        </w:tabs>
        <w:rPr>
          <w:rFonts w:ascii="GalanoGrotesque-Black" w:hAnsi="GalanoGrotesque-Black"/>
        </w:rPr>
      </w:pPr>
      <w:r>
        <w:rPr>
          <w:noProof/>
          <w:lang w:val="es-ES" w:eastAsia="es-ES"/>
        </w:rPr>
        <w:drawing>
          <wp:anchor distT="0" distB="0" distL="114300" distR="114300" simplePos="0" relativeHeight="251654653" behindDoc="0" locked="0" layoutInCell="1" allowOverlap="1" wp14:anchorId="55EF4FD2" wp14:editId="58D61563">
            <wp:simplePos x="0" y="0"/>
            <wp:positionH relativeFrom="column">
              <wp:posOffset>-780259</wp:posOffset>
            </wp:positionH>
            <wp:positionV relativeFrom="page">
              <wp:posOffset>28575</wp:posOffset>
            </wp:positionV>
            <wp:extent cx="7800975" cy="10092690"/>
            <wp:effectExtent l="0" t="0" r="9525" b="3810"/>
            <wp:wrapNone/>
            <wp:docPr id="43020" name="Imagen 43020" descr="C:\Users\Angel\AppData\Local\Microsoft\Windows\INetCache\Content.Word\Port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ppData\Local\Microsoft\Windows\INetCache\Content.Word\Portada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00975" cy="10092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F5C69" w:rsidRPr="00393342" w:rsidSect="00E47EF3">
      <w:footnotePr>
        <w:numStart w:val="4"/>
      </w:footnotePr>
      <w:type w:val="continuous"/>
      <w:pgSz w:w="12240" w:h="15840"/>
      <w:pgMar w:top="1418" w:right="1134" w:bottom="1418" w:left="1134" w:header="709" w:footer="709"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E09D1" w14:textId="77777777" w:rsidR="00D05FCC" w:rsidRDefault="00D05FCC" w:rsidP="00A815A8">
      <w:pPr>
        <w:spacing w:after="0" w:line="240" w:lineRule="auto"/>
      </w:pPr>
      <w:r>
        <w:separator/>
      </w:r>
    </w:p>
  </w:endnote>
  <w:endnote w:type="continuationSeparator" w:id="0">
    <w:p w14:paraId="58C1F794" w14:textId="77777777" w:rsidR="00D05FCC" w:rsidRDefault="00D05FCC" w:rsidP="00A81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GalanoGrotesque-Medium">
    <w:altName w:val="Arial"/>
    <w:panose1 w:val="00000000000000000000"/>
    <w:charset w:val="00"/>
    <w:family w:val="modern"/>
    <w:notTrueType/>
    <w:pitch w:val="variable"/>
    <w:sig w:usb0="00000007" w:usb1="00000000" w:usb2="00000000" w:usb3="00000000" w:csb0="00000093" w:csb1="00000000"/>
  </w:font>
  <w:font w:name="GalanoGrotesque-Black">
    <w:altName w:val="Arial"/>
    <w:panose1 w:val="00000000000000000000"/>
    <w:charset w:val="00"/>
    <w:family w:val="modern"/>
    <w:notTrueType/>
    <w:pitch w:val="variable"/>
    <w:sig w:usb0="00000007" w:usb1="00000000" w:usb2="00000000" w:usb3="00000000" w:csb0="00000093" w:csb1="00000000"/>
  </w:font>
  <w:font w:name="GalanoGrotesque-Light">
    <w:altName w:val="Arial"/>
    <w:panose1 w:val="00000000000000000000"/>
    <w:charset w:val="00"/>
    <w:family w:val="modern"/>
    <w:notTrueType/>
    <w:pitch w:val="variable"/>
    <w:sig w:usb0="00000007" w:usb1="00000000" w:usb2="00000000" w:usb3="00000000" w:csb0="00000093" w:csb1="00000000"/>
  </w:font>
  <w:font w:name="GalanoGrotesque-Bold">
    <w:altName w:val="Arial"/>
    <w:panose1 w:val="00000000000000000000"/>
    <w:charset w:val="00"/>
    <w:family w:val="modern"/>
    <w:notTrueType/>
    <w:pitch w:val="variable"/>
    <w:sig w:usb0="00000007" w:usb1="00000000" w:usb2="00000000" w:usb3="00000000" w:csb0="00000093" w:csb1="00000000"/>
  </w:font>
  <w:font w:name="Candara">
    <w:panose1 w:val="020E0502030303020204"/>
    <w:charset w:val="00"/>
    <w:family w:val="swiss"/>
    <w:pitch w:val="variable"/>
    <w:sig w:usb0="A00002EF" w:usb1="4000A44B" w:usb2="00000000"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GalanoGrotesque-Regular">
    <w:altName w:val="Arial"/>
    <w:panose1 w:val="00000000000000000000"/>
    <w:charset w:val="00"/>
    <w:family w:val="modern"/>
    <w:notTrueType/>
    <w:pitch w:val="variable"/>
    <w:sig w:usb0="00000007" w:usb1="00000000" w:usb2="00000000" w:usb3="00000000" w:csb0="00000093" w:csb1="00000000"/>
  </w:font>
  <w:font w:name="MyriadPro-Bold">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502036"/>
      <w:docPartObj>
        <w:docPartGallery w:val="Page Numbers (Bottom of Page)"/>
        <w:docPartUnique/>
      </w:docPartObj>
    </w:sdtPr>
    <w:sdtContent>
      <w:p w14:paraId="138ADDC2" w14:textId="77777777" w:rsidR="00082EBA" w:rsidRDefault="00082EBA">
        <w:pPr>
          <w:pStyle w:val="Piedepgina"/>
          <w:jc w:val="right"/>
        </w:pPr>
        <w:r>
          <w:fldChar w:fldCharType="begin"/>
        </w:r>
        <w:r>
          <w:instrText>PAGE   \* MERGEFORMAT</w:instrText>
        </w:r>
        <w:r>
          <w:fldChar w:fldCharType="separate"/>
        </w:r>
        <w:r w:rsidR="002E182E" w:rsidRPr="002E182E">
          <w:rPr>
            <w:noProof/>
            <w:lang w:val="es-ES"/>
          </w:rPr>
          <w:t>4</w:t>
        </w:r>
        <w:r>
          <w:fldChar w:fldCharType="end"/>
        </w:r>
      </w:p>
    </w:sdtContent>
  </w:sdt>
  <w:p w14:paraId="516A1578" w14:textId="77777777" w:rsidR="00082EBA" w:rsidRDefault="00082EB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D4216" w14:textId="77777777" w:rsidR="00082EBA" w:rsidRDefault="00082EBA">
    <w:pPr>
      <w:pStyle w:val="Piedepgina"/>
      <w:jc w:val="right"/>
    </w:pPr>
    <w:r>
      <w:rPr>
        <w:rFonts w:ascii="MyriadPro-Regular" w:hAnsi="MyriadPro-Regular" w:cs="MyriadPro-Regular"/>
        <w:noProof/>
        <w:color w:val="414142"/>
        <w:sz w:val="20"/>
        <w:szCs w:val="20"/>
        <w:lang w:val="es-ES" w:eastAsia="es-ES"/>
      </w:rPr>
      <w:drawing>
        <wp:anchor distT="0" distB="0" distL="114300" distR="114300" simplePos="0" relativeHeight="251663360" behindDoc="0" locked="0" layoutInCell="1" allowOverlap="1" wp14:anchorId="1B92F309" wp14:editId="6F8259E3">
          <wp:simplePos x="0" y="0"/>
          <wp:positionH relativeFrom="page">
            <wp:posOffset>465249</wp:posOffset>
          </wp:positionH>
          <wp:positionV relativeFrom="paragraph">
            <wp:posOffset>160655</wp:posOffset>
          </wp:positionV>
          <wp:extent cx="7721600" cy="229870"/>
          <wp:effectExtent l="0" t="0" r="0" b="0"/>
          <wp:wrapNone/>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leca-abaj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1600" cy="229870"/>
                  </a:xfrm>
                  <a:prstGeom prst="rect">
                    <a:avLst/>
                  </a:prstGeom>
                </pic:spPr>
              </pic:pic>
            </a:graphicData>
          </a:graphic>
          <wp14:sizeRelH relativeFrom="page">
            <wp14:pctWidth>0</wp14:pctWidth>
          </wp14:sizeRelH>
          <wp14:sizeRelV relativeFrom="page">
            <wp14:pctHeight>0</wp14:pctHeight>
          </wp14:sizeRelV>
        </wp:anchor>
      </w:drawing>
    </w:r>
    <w:sdt>
      <w:sdtPr>
        <w:id w:val="714312720"/>
        <w:docPartObj>
          <w:docPartGallery w:val="Page Numbers (Bottom of Page)"/>
          <w:docPartUnique/>
        </w:docPartObj>
      </w:sdtPr>
      <w:sdtContent>
        <w:r w:rsidRPr="00D80678">
          <w:rPr>
            <w:rFonts w:ascii="Arial" w:hAnsi="Arial" w:cs="Arial"/>
          </w:rPr>
          <w:fldChar w:fldCharType="begin"/>
        </w:r>
        <w:r w:rsidRPr="00D80678">
          <w:rPr>
            <w:rFonts w:ascii="Arial" w:hAnsi="Arial" w:cs="Arial"/>
          </w:rPr>
          <w:instrText xml:space="preserve"> PAGE   \* MERGEFORMAT </w:instrText>
        </w:r>
        <w:r w:rsidRPr="00D80678">
          <w:rPr>
            <w:rFonts w:ascii="Arial" w:hAnsi="Arial" w:cs="Arial"/>
          </w:rPr>
          <w:fldChar w:fldCharType="separate"/>
        </w:r>
        <w:r>
          <w:rPr>
            <w:rFonts w:ascii="Arial" w:hAnsi="Arial" w:cs="Arial"/>
            <w:noProof/>
          </w:rPr>
          <w:t>2</w:t>
        </w:r>
        <w:r w:rsidRPr="00D80678">
          <w:rPr>
            <w:rFonts w:ascii="Arial" w:hAnsi="Arial" w:cs="Arial"/>
          </w:rPr>
          <w:fldChar w:fldCharType="end"/>
        </w:r>
      </w:sdtContent>
    </w:sdt>
  </w:p>
  <w:p w14:paraId="07BD089B" w14:textId="77777777" w:rsidR="00082EBA" w:rsidRDefault="00082EB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99201" w14:textId="77777777" w:rsidR="00082EBA" w:rsidRDefault="00082EBA">
    <w:pPr>
      <w:pStyle w:val="Piedepgina"/>
      <w:jc w:val="right"/>
    </w:pPr>
    <w:sdt>
      <w:sdtPr>
        <w:id w:val="541247218"/>
        <w:docPartObj>
          <w:docPartGallery w:val="Page Numbers (Bottom of Page)"/>
          <w:docPartUnique/>
        </w:docPartObj>
      </w:sdtPr>
      <w:sdtContent>
        <w:r w:rsidRPr="00D80678">
          <w:rPr>
            <w:rFonts w:ascii="Arial" w:hAnsi="Arial" w:cs="Arial"/>
          </w:rPr>
          <w:fldChar w:fldCharType="begin"/>
        </w:r>
        <w:r w:rsidRPr="00D80678">
          <w:rPr>
            <w:rFonts w:ascii="Arial" w:hAnsi="Arial" w:cs="Arial"/>
          </w:rPr>
          <w:instrText xml:space="preserve"> PAGE   \* MERGEFORMAT </w:instrText>
        </w:r>
        <w:r w:rsidRPr="00D80678">
          <w:rPr>
            <w:rFonts w:ascii="Arial" w:hAnsi="Arial" w:cs="Arial"/>
          </w:rPr>
          <w:fldChar w:fldCharType="separate"/>
        </w:r>
        <w:r w:rsidR="002E182E">
          <w:rPr>
            <w:rFonts w:ascii="Arial" w:hAnsi="Arial" w:cs="Arial"/>
            <w:noProof/>
          </w:rPr>
          <w:t>85</w:t>
        </w:r>
        <w:r w:rsidRPr="00D80678">
          <w:rPr>
            <w:rFonts w:ascii="Arial" w:hAnsi="Arial" w:cs="Arial"/>
          </w:rPr>
          <w:fldChar w:fldCharType="end"/>
        </w:r>
      </w:sdtContent>
    </w:sdt>
  </w:p>
  <w:p w14:paraId="77E323F9" w14:textId="77777777" w:rsidR="00082EBA" w:rsidRDefault="00082EBA">
    <w:pPr>
      <w:pStyle w:val="Piedepgina"/>
    </w:pPr>
    <w:r>
      <w:rPr>
        <w:rFonts w:ascii="MyriadPro-Regular" w:hAnsi="MyriadPro-Regular" w:cs="MyriadPro-Regular"/>
        <w:noProof/>
        <w:color w:val="414142"/>
        <w:sz w:val="20"/>
        <w:szCs w:val="20"/>
        <w:lang w:val="es-ES" w:eastAsia="es-ES"/>
      </w:rPr>
      <w:drawing>
        <wp:anchor distT="0" distB="0" distL="114300" distR="114300" simplePos="0" relativeHeight="251665408" behindDoc="0" locked="0" layoutInCell="1" allowOverlap="1" wp14:anchorId="76BF4D73" wp14:editId="64D896A8">
          <wp:simplePos x="0" y="0"/>
          <wp:positionH relativeFrom="margin">
            <wp:align>center</wp:align>
          </wp:positionH>
          <wp:positionV relativeFrom="page">
            <wp:posOffset>9643441</wp:posOffset>
          </wp:positionV>
          <wp:extent cx="7722000" cy="2304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Pleca-abaj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2000" cy="230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8EE221" w14:textId="77777777" w:rsidR="00D05FCC" w:rsidRDefault="00D05FCC" w:rsidP="00A815A8">
      <w:pPr>
        <w:spacing w:after="0" w:line="240" w:lineRule="auto"/>
      </w:pPr>
      <w:r>
        <w:separator/>
      </w:r>
    </w:p>
  </w:footnote>
  <w:footnote w:type="continuationSeparator" w:id="0">
    <w:p w14:paraId="15DC2222" w14:textId="77777777" w:rsidR="00D05FCC" w:rsidRDefault="00D05FCC" w:rsidP="00A815A8">
      <w:pPr>
        <w:spacing w:after="0" w:line="240" w:lineRule="auto"/>
      </w:pPr>
      <w:r>
        <w:continuationSeparator/>
      </w:r>
    </w:p>
  </w:footnote>
  <w:footnote w:id="1">
    <w:p w14:paraId="5E04C708" w14:textId="77777777" w:rsidR="00082EBA" w:rsidRPr="006F4F61" w:rsidRDefault="00082EBA" w:rsidP="00EB0227">
      <w:pPr>
        <w:pStyle w:val="Textonotapie"/>
        <w:jc w:val="both"/>
        <w:rPr>
          <w:rFonts w:ascii="Myriad Pro" w:hAnsi="Myriad Pro"/>
          <w:sz w:val="14"/>
          <w:szCs w:val="14"/>
          <w:lang w:val="es-MX"/>
        </w:rPr>
      </w:pPr>
      <w:r w:rsidRPr="006F4F61">
        <w:rPr>
          <w:rStyle w:val="Refdenotaalpie"/>
          <w:rFonts w:ascii="Myriad Pro" w:hAnsi="Myriad Pro"/>
          <w:sz w:val="14"/>
          <w:szCs w:val="14"/>
        </w:rPr>
        <w:footnoteRef/>
      </w:r>
      <w:r w:rsidRPr="006F4F61">
        <w:rPr>
          <w:rFonts w:ascii="Myriad Pro" w:hAnsi="Myriad Pro"/>
          <w:sz w:val="14"/>
          <w:szCs w:val="14"/>
        </w:rPr>
        <w:t xml:space="preserve"> Los 17 objetivos para lograr el desarrollo sostenible en el planeta que estableció la ONU son: Fin de la pobreza; Hambre cero; Salud y bienestar; Educación con calidad; Igualdad de género; Agua limpia y saneamiento; Energía asequible y no contaminante; Trabajo decente y crecimiento económico; Industria, innovación e infraestructura; Reducción de las desigualdades; Ciudades y comunidades sostenibles; Producción y consumo responsables; Acción por el clima; Vida submarina; Vida de ecosistemas terrestres; Paz, justicia e instituciones sólidas; Alianza para lograr los objetivos.</w:t>
      </w:r>
    </w:p>
  </w:footnote>
  <w:footnote w:id="2">
    <w:p w14:paraId="785462C2" w14:textId="77777777" w:rsidR="00082EBA" w:rsidRPr="006F4F61" w:rsidRDefault="00082EBA" w:rsidP="009B176F">
      <w:pPr>
        <w:pStyle w:val="Textonotapie"/>
        <w:rPr>
          <w:rFonts w:ascii="Myriad Pro" w:hAnsi="Myriad Pro"/>
          <w:sz w:val="14"/>
          <w:szCs w:val="14"/>
          <w:lang w:val="es-ES"/>
        </w:rPr>
      </w:pPr>
      <w:r w:rsidRPr="006F4F61">
        <w:rPr>
          <w:rStyle w:val="Refdenotaalpie"/>
          <w:rFonts w:ascii="Myriad Pro" w:hAnsi="Myriad Pro"/>
          <w:sz w:val="14"/>
          <w:szCs w:val="14"/>
        </w:rPr>
        <w:footnoteRef/>
      </w:r>
      <w:r w:rsidRPr="006F4F61">
        <w:rPr>
          <w:rFonts w:ascii="Myriad Pro" w:hAnsi="Myriad Pro"/>
          <w:sz w:val="14"/>
          <w:szCs w:val="14"/>
        </w:rPr>
        <w:t xml:space="preserve"> </w:t>
      </w:r>
      <w:r w:rsidRPr="006F4F61">
        <w:rPr>
          <w:rFonts w:ascii="Myriad Pro" w:hAnsi="Myriad Pro"/>
          <w:sz w:val="14"/>
          <w:szCs w:val="14"/>
          <w:lang w:val="es-ES"/>
        </w:rPr>
        <w:t>Enfermedades transmisibles de los animales a los humanos.</w:t>
      </w:r>
    </w:p>
  </w:footnote>
  <w:footnote w:id="3">
    <w:p w14:paraId="585D990C" w14:textId="77777777" w:rsidR="00082EBA" w:rsidRPr="006F4F61" w:rsidRDefault="00082EBA" w:rsidP="00E96714">
      <w:pPr>
        <w:pStyle w:val="Textonotapie"/>
        <w:rPr>
          <w:rFonts w:ascii="Myriad Pro" w:hAnsi="Myriad Pro"/>
          <w:sz w:val="14"/>
          <w:szCs w:val="14"/>
        </w:rPr>
      </w:pPr>
      <w:r w:rsidRPr="006F4F61">
        <w:rPr>
          <w:rStyle w:val="Refdenotaalpie"/>
          <w:rFonts w:ascii="Myriad Pro" w:hAnsi="Myriad Pro"/>
          <w:sz w:val="14"/>
          <w:szCs w:val="14"/>
        </w:rPr>
        <w:footnoteRef/>
      </w:r>
      <w:r w:rsidRPr="006F4F61">
        <w:rPr>
          <w:rFonts w:ascii="Myriad Pro" w:hAnsi="Myriad Pro"/>
          <w:sz w:val="14"/>
          <w:szCs w:val="14"/>
        </w:rPr>
        <w:t xml:space="preserve"> Esto es, el número de delitos que no se denuncian.</w:t>
      </w:r>
    </w:p>
  </w:footnote>
  <w:footnote w:id="4">
    <w:p w14:paraId="19C542D8" w14:textId="77777777" w:rsidR="00082EBA" w:rsidRPr="006F4F61" w:rsidRDefault="00082EBA" w:rsidP="00CC6E00">
      <w:pPr>
        <w:spacing w:after="0" w:line="240" w:lineRule="auto"/>
        <w:jc w:val="both"/>
        <w:rPr>
          <w:rFonts w:ascii="Myriad Pro" w:hAnsi="Myriad Pro"/>
          <w:sz w:val="14"/>
          <w:szCs w:val="14"/>
          <w:lang w:val="es-ES_tradnl"/>
        </w:rPr>
      </w:pPr>
      <w:r w:rsidRPr="006F4F61">
        <w:rPr>
          <w:rStyle w:val="Refdenotaalpie"/>
          <w:rFonts w:ascii="Myriad Pro" w:hAnsi="Myriad Pro"/>
          <w:sz w:val="14"/>
          <w:szCs w:val="14"/>
        </w:rPr>
        <w:footnoteRef/>
      </w:r>
      <w:r w:rsidRPr="006F4F61">
        <w:rPr>
          <w:rFonts w:ascii="Myriad Pro" w:hAnsi="Myriad Pro"/>
          <w:sz w:val="14"/>
          <w:szCs w:val="14"/>
        </w:rPr>
        <w:t xml:space="preserve"> </w:t>
      </w:r>
      <w:r w:rsidRPr="006F4F61">
        <w:rPr>
          <w:rFonts w:ascii="Myriad Pro" w:hAnsi="Myriad Pro" w:cs="Arial"/>
          <w:sz w:val="14"/>
          <w:szCs w:val="14"/>
          <w:lang w:eastAsia="es-MX"/>
        </w:rPr>
        <w:t>SEGOB BBVA, Anuario de migración y remesas 2015. https://www.bbvaresearch.com/wp-content/uploads/2015/06/1506_Mexico_AnuarioMigracion2.pdf</w:t>
      </w:r>
      <w:r w:rsidRPr="006F4F61">
        <w:rPr>
          <w:rFonts w:ascii="Myriad Pro" w:hAnsi="Myriad Pro" w:cs="Arial"/>
          <w:sz w:val="14"/>
          <w:szCs w:val="14"/>
          <w:lang w:eastAsia="es-MX"/>
        </w:rPr>
        <w:tab/>
      </w:r>
    </w:p>
  </w:footnote>
  <w:footnote w:id="5">
    <w:p w14:paraId="474C88B9" w14:textId="0FAC5294" w:rsidR="00082EBA" w:rsidRPr="005258BB" w:rsidRDefault="00082EBA" w:rsidP="00E746F4">
      <w:pPr>
        <w:pStyle w:val="Textonotapie"/>
        <w:jc w:val="both"/>
        <w:rPr>
          <w:lang w:val="es-MX"/>
        </w:rPr>
      </w:pPr>
      <w:r>
        <w:rPr>
          <w:rStyle w:val="Refdenotaalpie"/>
        </w:rPr>
        <w:t>4</w:t>
      </w:r>
      <w:r>
        <w:t xml:space="preserve"> </w:t>
      </w:r>
      <w:r w:rsidRPr="006F4F61">
        <w:rPr>
          <w:rFonts w:ascii="Myriad Pro" w:hAnsi="Myriad Pro"/>
          <w:sz w:val="14"/>
          <w:szCs w:val="14"/>
        </w:rPr>
        <w:t>El concepto de innovación social, recientemente acuñado por la CEPAL, establece un nuevo enfoque por el cual las comunidades, las organizaciones de la sociedad civil y el gobierno trabajan juntos para construir políticas públicas y dar solución a los problemas que no han podido ser solucionados con los modelos tradicionalmente utilizados</w:t>
      </w:r>
      <w:r>
        <w:rPr>
          <w:rFonts w:ascii="Myriad Pro" w:hAnsi="Myriad Pro"/>
          <w:sz w:val="14"/>
          <w:szCs w:val="14"/>
        </w:rPr>
        <w:t>.</w:t>
      </w:r>
    </w:p>
  </w:footnote>
  <w:footnote w:id="6">
    <w:p w14:paraId="60CF7F2D" w14:textId="607A815C" w:rsidR="00082EBA" w:rsidRPr="005258BB" w:rsidRDefault="00082EBA" w:rsidP="00E746F4">
      <w:pPr>
        <w:pStyle w:val="Textonotapie"/>
        <w:jc w:val="both"/>
        <w:rPr>
          <w:lang w:val="es-MX"/>
        </w:rPr>
      </w:pPr>
      <w:r>
        <w:rPr>
          <w:rStyle w:val="Refdenotaalpie"/>
        </w:rPr>
        <w:t>5</w:t>
      </w:r>
      <w:r>
        <w:t xml:space="preserve"> </w:t>
      </w:r>
      <w:r w:rsidRPr="006F4F61">
        <w:rPr>
          <w:rFonts w:ascii="Myriad Pro" w:hAnsi="Myriad Pro"/>
          <w:sz w:val="14"/>
          <w:szCs w:val="14"/>
        </w:rPr>
        <w:t>Una persona se encuentra en situación de pobreza cuando tiene al menos una carencia social (en los seis indicadores de rezago educativo, acceso a servicios de salud, acceso a la seguridad social, calidad y espacios de la vivienda, servicios básicos en la vivienda y acceso a la alimentación) y su ingreso es insuficiente para adquirir los bienes y servicios que requiere para satisfacer sus necesidades alimentarias y no alimentarias. Una persona estará en pobreza extrema cuando tiene tres o más carencias, de seis posibles, dentro del Índice de Privación Social y que, además, se encuentra por debajo de la línea de bienestar mínimo; quien se encuentra en esta situación dispone de un ingreso tan bajo que, aun si lo dedicara por completo a la adquisición de alimentos, no podría adquirir los nutrientes necesarios para tener una vida sana. El número de personas en pobreza moderada se calcula por la diferencia entre la población en pobreza menos la población en pobreza extrema</w:t>
      </w:r>
      <w:r>
        <w:rPr>
          <w:rFonts w:ascii="Myriad Pro" w:hAnsi="Myriad Pro"/>
          <w:sz w:val="14"/>
          <w:szCs w:val="14"/>
        </w:rPr>
        <w:t>.</w:t>
      </w:r>
    </w:p>
  </w:footnote>
  <w:footnote w:id="7">
    <w:p w14:paraId="2CF7B383" w14:textId="1BBCFF22" w:rsidR="00082EBA" w:rsidRPr="00E746F4" w:rsidRDefault="00082EBA" w:rsidP="00E746F4">
      <w:pPr>
        <w:pStyle w:val="Textonotapie"/>
        <w:jc w:val="both"/>
        <w:rPr>
          <w:lang w:val="es-MX"/>
        </w:rPr>
      </w:pPr>
      <w:r>
        <w:rPr>
          <w:rStyle w:val="Refdenotaalpie"/>
        </w:rPr>
        <w:t>6</w:t>
      </w:r>
      <w:r>
        <w:t xml:space="preserve"> </w:t>
      </w:r>
      <w:r w:rsidRPr="00E746F4">
        <w:rPr>
          <w:rFonts w:ascii="Myriad Pro" w:hAnsi="Myriad Pro"/>
          <w:sz w:val="14"/>
        </w:rPr>
        <w:t>Personas entre tres y 15 años que no cuentan con una educación formal básica (preescolar, primaria y secundaria) o bien cuando las personas de 16 años o más tienen la primaria incompleta si nacieron en 1981 o los nacidos en 1982 que no tiene la secundaria completa</w:t>
      </w:r>
    </w:p>
  </w:footnote>
  <w:footnote w:id="8">
    <w:p w14:paraId="18D5DFC1" w14:textId="77777777" w:rsidR="00082EBA" w:rsidRPr="006F4F61" w:rsidRDefault="00082EBA" w:rsidP="005B55C4">
      <w:pPr>
        <w:autoSpaceDE w:val="0"/>
        <w:autoSpaceDN w:val="0"/>
        <w:adjustRightInd w:val="0"/>
        <w:spacing w:after="0" w:line="240" w:lineRule="auto"/>
        <w:jc w:val="both"/>
        <w:rPr>
          <w:sz w:val="14"/>
          <w:szCs w:val="14"/>
        </w:rPr>
      </w:pPr>
      <w:r w:rsidRPr="006F4F61">
        <w:rPr>
          <w:rStyle w:val="Refdenotaalpie"/>
          <w:sz w:val="14"/>
          <w:szCs w:val="14"/>
        </w:rPr>
        <w:t>7</w:t>
      </w:r>
      <w:r w:rsidRPr="006F4F61">
        <w:rPr>
          <w:sz w:val="14"/>
          <w:szCs w:val="14"/>
        </w:rPr>
        <w:t xml:space="preserve"> </w:t>
      </w:r>
      <w:r w:rsidRPr="006F4F61">
        <w:rPr>
          <w:rFonts w:ascii="MyriadPro-Regular" w:hAnsi="MyriadPro-Regular" w:cs="MyriadPro-Regular"/>
          <w:color w:val="414142"/>
          <w:sz w:val="14"/>
          <w:szCs w:val="14"/>
        </w:rPr>
        <w:t xml:space="preserve">Según el CONEVAL, la línea de bienestar es la suma de los costos de la canasta alimentaria y no alimentaria, y permite identificar a la población que no cuenta con los recursos suficientes para adquirir los bienes y servicios que requiere para satisfacer sus necesidades básicas, aún si hiciera uso de todo su ingreso, mientras que la línea de bienestar mínimo equivale al costo de la canasta alimentaria, y permite identificar a la población que, aun al hacer uso de todo su ingreso en la compra de alimentos, no puede adquirir lo indispensable para tener una </w:t>
      </w:r>
      <w:proofErr w:type="spellStart"/>
      <w:r w:rsidRPr="006F4F61">
        <w:rPr>
          <w:rFonts w:ascii="MyriadPro-Regular" w:hAnsi="MyriadPro-Regular" w:cs="MyriadPro-Regular"/>
          <w:color w:val="414142"/>
          <w:sz w:val="14"/>
          <w:szCs w:val="14"/>
        </w:rPr>
        <w:t>nutriciónadecuada</w:t>
      </w:r>
      <w:proofErr w:type="spellEnd"/>
      <w:r w:rsidRPr="006F4F61">
        <w:rPr>
          <w:rFonts w:ascii="MyriadPro-Regular" w:hAnsi="MyriadPro-Regular" w:cs="MyriadPro-Regular"/>
          <w:color w:val="414142"/>
          <w:sz w:val="14"/>
          <w:szCs w:val="14"/>
        </w:rPr>
        <w:t>.</w:t>
      </w:r>
    </w:p>
  </w:footnote>
  <w:footnote w:id="9">
    <w:p w14:paraId="583C222F" w14:textId="542C3A51" w:rsidR="00082EBA" w:rsidRPr="00E013CD" w:rsidRDefault="00082EBA">
      <w:pPr>
        <w:pStyle w:val="Textonotapie"/>
        <w:rPr>
          <w:lang w:val="es-MX"/>
        </w:rPr>
      </w:pPr>
      <w:r>
        <w:rPr>
          <w:rStyle w:val="Refdenotaalpie"/>
        </w:rPr>
        <w:t>8</w:t>
      </w:r>
      <w:r>
        <w:t xml:space="preserve"> </w:t>
      </w:r>
      <w:r w:rsidRPr="006F4F61">
        <w:rPr>
          <w:rFonts w:ascii="Myriad Pro" w:hAnsi="Myriad Pro"/>
          <w:sz w:val="14"/>
          <w:szCs w:val="14"/>
        </w:rPr>
        <w:t>Directorio Estadístico Nacional de Unidades Económicas, INEGI, 2015.</w:t>
      </w:r>
    </w:p>
  </w:footnote>
  <w:footnote w:id="10">
    <w:p w14:paraId="3794ECA9" w14:textId="47C1560D" w:rsidR="00082EBA" w:rsidRPr="00E013CD" w:rsidRDefault="00082EBA">
      <w:pPr>
        <w:pStyle w:val="Textonotapie"/>
        <w:rPr>
          <w:lang w:val="es-MX"/>
        </w:rPr>
      </w:pPr>
      <w:r>
        <w:rPr>
          <w:rStyle w:val="Refdenotaalpie"/>
        </w:rPr>
        <w:t>9</w:t>
      </w:r>
      <w:r>
        <w:t xml:space="preserve"> </w:t>
      </w:r>
      <w:r w:rsidRPr="006F4F61">
        <w:rPr>
          <w:rFonts w:ascii="Myriad Pro" w:hAnsi="Myriad Pro"/>
          <w:sz w:val="14"/>
          <w:szCs w:val="14"/>
        </w:rPr>
        <w:t>Es un indicador global de los recursos de Ciencia, Tecnología e Innovación (CTI), realizado por el Foro Consultivo Científico y Tecnológico, A.C. que permite comparar las capacidades en CTI y las vocaciones de cada las entidades federativas de México. Se compone de 58 indicadores en 10 dimensiones: a) Infraestructura académica y de investigación, b) Formación de recursos humanos, c) Personal docente y de investigación, d)  Inversión en CTI, e) Productividad científica e innovadora, f) Infraestructura empresarial, g) Tecnologías de la información y comunicaciones, h) Componente institucional, i) Género en la CTI, j) Entorno económico y social.</w:t>
      </w:r>
    </w:p>
  </w:footnote>
  <w:footnote w:id="11">
    <w:p w14:paraId="032E5BAD" w14:textId="0D3DA10B" w:rsidR="00082EBA" w:rsidRPr="00935233" w:rsidRDefault="00082EBA">
      <w:pPr>
        <w:pStyle w:val="Textonotapie"/>
        <w:rPr>
          <w:lang w:val="es-MX"/>
        </w:rPr>
      </w:pPr>
      <w:r>
        <w:rPr>
          <w:rStyle w:val="Refdenotaalpie"/>
        </w:rPr>
        <w:t>10</w:t>
      </w:r>
      <w:r>
        <w:t xml:space="preserve"> </w:t>
      </w:r>
      <w:r w:rsidRPr="006F4F61">
        <w:rPr>
          <w:rFonts w:ascii="Myriad Pro" w:hAnsi="Myriad Pro"/>
          <w:sz w:val="14"/>
          <w:szCs w:val="14"/>
        </w:rPr>
        <w:t>Cohesión social: inclusión y sentido de pertenencia en América Latina y el Caribe, CEPAL,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E6AF0" w14:textId="77777777" w:rsidR="00082EBA" w:rsidRDefault="00082EBA">
    <w:pPr>
      <w:pStyle w:val="Encabezado"/>
    </w:pPr>
    <w:r>
      <w:rPr>
        <w:noProof/>
        <w:lang w:val="es-ES" w:eastAsia="es-ES"/>
      </w:rPr>
      <w:drawing>
        <wp:anchor distT="0" distB="0" distL="114300" distR="114300" simplePos="0" relativeHeight="251659264" behindDoc="0" locked="0" layoutInCell="1" allowOverlap="1" wp14:anchorId="5502941C" wp14:editId="5EF8C9DD">
          <wp:simplePos x="0" y="0"/>
          <wp:positionH relativeFrom="margin">
            <wp:posOffset>-358775</wp:posOffset>
          </wp:positionH>
          <wp:positionV relativeFrom="paragraph">
            <wp:posOffset>-249664</wp:posOffset>
          </wp:positionV>
          <wp:extent cx="7050374" cy="647700"/>
          <wp:effectExtent l="0" t="0" r="0" b="0"/>
          <wp:wrapNone/>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0374"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17E114" w14:textId="77777777" w:rsidR="00082EBA" w:rsidRDefault="00082EBA" w:rsidP="00831758">
    <w:pPr>
      <w:pStyle w:val="Encabezado"/>
    </w:pPr>
    <w:r>
      <w:rPr>
        <w:noProof/>
        <w:lang w:val="es-ES" w:eastAsia="es-ES"/>
      </w:rPr>
      <w:drawing>
        <wp:anchor distT="0" distB="0" distL="114300" distR="114300" simplePos="0" relativeHeight="251661312" behindDoc="0" locked="0" layoutInCell="1" allowOverlap="1" wp14:anchorId="09651F5F" wp14:editId="31DF935A">
          <wp:simplePos x="0" y="0"/>
          <wp:positionH relativeFrom="margin">
            <wp:align>center</wp:align>
          </wp:positionH>
          <wp:positionV relativeFrom="paragraph">
            <wp:posOffset>-134455</wp:posOffset>
          </wp:positionV>
          <wp:extent cx="6559826" cy="61083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9826" cy="610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299A0" w14:textId="77777777" w:rsidR="00082EBA" w:rsidRDefault="00082EBA" w:rsidP="00831758">
    <w:pPr>
      <w:pStyle w:val="Encabezado"/>
    </w:pPr>
  </w:p>
  <w:p w14:paraId="426C7567" w14:textId="77777777" w:rsidR="00082EBA" w:rsidRPr="005A6782" w:rsidRDefault="00082EBA" w:rsidP="00831758">
    <w:pPr>
      <w:pStyle w:val="Encabezado"/>
      <w:jc w:val="center"/>
      <w:rPr>
        <w:rFonts w:ascii="Arial" w:hAnsi="Arial" w:cs="Arial"/>
        <w:b/>
      </w:rPr>
    </w:pPr>
    <w:r>
      <w:tab/>
      <w:t xml:space="preserve">               </w:t>
    </w:r>
    <w:r>
      <w:tab/>
    </w:r>
  </w:p>
  <w:p w14:paraId="55E0C7EF" w14:textId="77777777" w:rsidR="00082EBA" w:rsidRPr="005A6782" w:rsidRDefault="00082EBA" w:rsidP="00831758">
    <w:pPr>
      <w:pStyle w:val="Encabezado"/>
      <w:jc w:val="center"/>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14" type="#_x0000_t75" style="width:59.25pt;height:27.05pt;visibility:visible" o:bullet="t">
        <v:imagedata r:id="rId1" o:title=""/>
      </v:shape>
    </w:pict>
  </w:numPicBullet>
  <w:numPicBullet w:numPicBulletId="1">
    <w:pict>
      <v:shape id="_x0000_i2015" type="#_x0000_t75" style="width:41.25pt;height:30.05pt;visibility:visible" o:bullet="t">
        <v:imagedata r:id="rId2" o:title=""/>
      </v:shape>
    </w:pict>
  </w:numPicBullet>
  <w:numPicBullet w:numPicBulletId="2">
    <w:pict>
      <v:shape id="_x0000_i2016" type="#_x0000_t75" style="width:47.25pt;height:34.55pt;visibility:visible" o:bullet="t">
        <v:imagedata r:id="rId3" o:title=""/>
      </v:shape>
    </w:pict>
  </w:numPicBullet>
  <w:numPicBullet w:numPicBulletId="3">
    <w:pict>
      <v:shape id="_x0000_i2017" type="#_x0000_t75" style="width:51.75pt;height:35.25pt" o:bullet="t">
        <v:imagedata r:id="rId4" o:title="vineta2"/>
      </v:shape>
    </w:pict>
  </w:numPicBullet>
  <w:numPicBullet w:numPicBulletId="4">
    <w:pict>
      <v:shape id="_x0000_i2018" type="#_x0000_t75" style="width:18pt;height:15pt" o:bullet="t">
        <v:imagedata r:id="rId5" o:title="viñeta_ama"/>
      </v:shape>
    </w:pict>
  </w:numPicBullet>
  <w:numPicBullet w:numPicBulletId="5">
    <w:pict>
      <v:shape id="_x0000_i2019" type="#_x0000_t75" style="width:19.5pt;height:18pt" o:bullet="t">
        <v:imagedata r:id="rId6" o:title="viñeta_az"/>
      </v:shape>
    </w:pict>
  </w:numPicBullet>
  <w:numPicBullet w:numPicBulletId="6">
    <w:pict>
      <v:shape id="_x0000_i2020" type="#_x0000_t75" style="width:19.5pt;height:18pt" o:bullet="t">
        <v:imagedata r:id="rId7" o:title="viñeta_mor"/>
      </v:shape>
    </w:pict>
  </w:numPicBullet>
  <w:numPicBullet w:numPicBulletId="7">
    <w:pict>
      <v:shape id="_x0000_i2021" type="#_x0000_t75" style="width:21.75pt;height:20.25pt" o:bullet="t">
        <v:imagedata r:id="rId8" o:title="viñeta_ros"/>
      </v:shape>
    </w:pict>
  </w:numPicBullet>
  <w:numPicBullet w:numPicBulletId="8">
    <w:pict>
      <v:shape id="_x0000_i2022" type="#_x0000_t75" style="width:24pt;height:22.5pt" o:bullet="t">
        <v:imagedata r:id="rId9" o:title="viñeta_az2"/>
      </v:shape>
    </w:pict>
  </w:numPicBullet>
  <w:numPicBullet w:numPicBulletId="9">
    <w:pict>
      <v:shape id="_x0000_i2023" type="#_x0000_t75" style="width:25.5pt;height:24.75pt" o:bullet="t">
        <v:imagedata r:id="rId10" o:title="viñeta_ver"/>
      </v:shape>
    </w:pict>
  </w:numPicBullet>
  <w:numPicBullet w:numPicBulletId="10">
    <w:pict>
      <v:shape id="_x0000_i2024" type="#_x0000_t75" style="width:27pt;height:24.75pt" o:bullet="t">
        <v:imagedata r:id="rId11" o:title="viñeta_lil"/>
      </v:shape>
    </w:pict>
  </w:numPicBullet>
  <w:numPicBullet w:numPicBulletId="11">
    <w:pict>
      <v:shape id="_x0000_i2025" type="#_x0000_t75" style="width:30pt;height:28.5pt" o:bullet="t">
        <v:imagedata r:id="rId12" o:title="viñeta_nar"/>
      </v:shape>
    </w:pict>
  </w:numPicBullet>
  <w:numPicBullet w:numPicBulletId="12">
    <w:pict>
      <v:shape id="_x0000_i2026" type="#_x0000_t75" style="width:25.5pt;height:24.75pt" o:bullet="t">
        <v:imagedata r:id="rId13" o:title="viñeta_az2"/>
      </v:shape>
    </w:pict>
  </w:numPicBullet>
  <w:abstractNum w:abstractNumId="0">
    <w:nsid w:val="001A1768"/>
    <w:multiLevelType w:val="hybridMultilevel"/>
    <w:tmpl w:val="856C01C4"/>
    <w:lvl w:ilvl="0" w:tplc="2F2E5F76">
      <w:start w:val="1"/>
      <w:numFmt w:val="bullet"/>
      <w:lvlText w:val=""/>
      <w:lvlPicBulletId w:val="6"/>
      <w:lvlJc w:val="left"/>
      <w:pPr>
        <w:ind w:left="1440" w:hanging="360"/>
      </w:pPr>
      <w:rPr>
        <w:rFonts w:ascii="Symbol" w:hAnsi="Symbol" w:hint="default"/>
        <w:color w:val="auto"/>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0C36974"/>
    <w:multiLevelType w:val="hybridMultilevel"/>
    <w:tmpl w:val="FF04F76C"/>
    <w:lvl w:ilvl="0" w:tplc="4AD67062">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2564" w:hanging="360"/>
      </w:pPr>
      <w:rPr>
        <w:rFonts w:ascii="Courier New" w:hAnsi="Courier New" w:cs="Courier New" w:hint="default"/>
      </w:rPr>
    </w:lvl>
    <w:lvl w:ilvl="2" w:tplc="080A0005" w:tentative="1">
      <w:start w:val="1"/>
      <w:numFmt w:val="bullet"/>
      <w:lvlText w:val=""/>
      <w:lvlJc w:val="left"/>
      <w:pPr>
        <w:ind w:left="3284" w:hanging="360"/>
      </w:pPr>
      <w:rPr>
        <w:rFonts w:ascii="Wingdings" w:hAnsi="Wingdings" w:hint="default"/>
      </w:rPr>
    </w:lvl>
    <w:lvl w:ilvl="3" w:tplc="080A0001" w:tentative="1">
      <w:start w:val="1"/>
      <w:numFmt w:val="bullet"/>
      <w:lvlText w:val=""/>
      <w:lvlJc w:val="left"/>
      <w:pPr>
        <w:ind w:left="4004" w:hanging="360"/>
      </w:pPr>
      <w:rPr>
        <w:rFonts w:ascii="Symbol" w:hAnsi="Symbol" w:hint="default"/>
      </w:rPr>
    </w:lvl>
    <w:lvl w:ilvl="4" w:tplc="080A0003" w:tentative="1">
      <w:start w:val="1"/>
      <w:numFmt w:val="bullet"/>
      <w:lvlText w:val="o"/>
      <w:lvlJc w:val="left"/>
      <w:pPr>
        <w:ind w:left="4724" w:hanging="360"/>
      </w:pPr>
      <w:rPr>
        <w:rFonts w:ascii="Courier New" w:hAnsi="Courier New" w:cs="Courier New" w:hint="default"/>
      </w:rPr>
    </w:lvl>
    <w:lvl w:ilvl="5" w:tplc="080A0005" w:tentative="1">
      <w:start w:val="1"/>
      <w:numFmt w:val="bullet"/>
      <w:lvlText w:val=""/>
      <w:lvlJc w:val="left"/>
      <w:pPr>
        <w:ind w:left="5444" w:hanging="360"/>
      </w:pPr>
      <w:rPr>
        <w:rFonts w:ascii="Wingdings" w:hAnsi="Wingdings" w:hint="default"/>
      </w:rPr>
    </w:lvl>
    <w:lvl w:ilvl="6" w:tplc="080A0001" w:tentative="1">
      <w:start w:val="1"/>
      <w:numFmt w:val="bullet"/>
      <w:lvlText w:val=""/>
      <w:lvlJc w:val="left"/>
      <w:pPr>
        <w:ind w:left="6164" w:hanging="360"/>
      </w:pPr>
      <w:rPr>
        <w:rFonts w:ascii="Symbol" w:hAnsi="Symbol" w:hint="default"/>
      </w:rPr>
    </w:lvl>
    <w:lvl w:ilvl="7" w:tplc="080A0003" w:tentative="1">
      <w:start w:val="1"/>
      <w:numFmt w:val="bullet"/>
      <w:lvlText w:val="o"/>
      <w:lvlJc w:val="left"/>
      <w:pPr>
        <w:ind w:left="6884" w:hanging="360"/>
      </w:pPr>
      <w:rPr>
        <w:rFonts w:ascii="Courier New" w:hAnsi="Courier New" w:cs="Courier New" w:hint="default"/>
      </w:rPr>
    </w:lvl>
    <w:lvl w:ilvl="8" w:tplc="080A0005" w:tentative="1">
      <w:start w:val="1"/>
      <w:numFmt w:val="bullet"/>
      <w:lvlText w:val=""/>
      <w:lvlJc w:val="left"/>
      <w:pPr>
        <w:ind w:left="7604" w:hanging="360"/>
      </w:pPr>
      <w:rPr>
        <w:rFonts w:ascii="Wingdings" w:hAnsi="Wingdings" w:hint="default"/>
      </w:rPr>
    </w:lvl>
  </w:abstractNum>
  <w:abstractNum w:abstractNumId="2">
    <w:nsid w:val="00DA55BB"/>
    <w:multiLevelType w:val="hybridMultilevel"/>
    <w:tmpl w:val="E9B6895E"/>
    <w:lvl w:ilvl="0" w:tplc="415CBC2C">
      <w:start w:val="1"/>
      <w:numFmt w:val="bullet"/>
      <w:lvlText w:val=""/>
      <w:lvlPicBulletId w:val="4"/>
      <w:lvlJc w:val="left"/>
      <w:pPr>
        <w:ind w:left="720" w:hanging="360"/>
      </w:pPr>
      <w:rPr>
        <w:rFonts w:ascii="Symbol" w:hAnsi="Symbol" w:hint="default"/>
        <w:color w:val="auto"/>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AF2336"/>
    <w:multiLevelType w:val="hybridMultilevel"/>
    <w:tmpl w:val="1EBEA410"/>
    <w:lvl w:ilvl="0" w:tplc="080A0005">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4">
    <w:nsid w:val="0F5861A3"/>
    <w:multiLevelType w:val="hybridMultilevel"/>
    <w:tmpl w:val="F1363510"/>
    <w:lvl w:ilvl="0" w:tplc="DAE65CFE">
      <w:start w:val="1"/>
      <w:numFmt w:val="bullet"/>
      <w:lvlText w:val=""/>
      <w:lvlPicBulletId w:val="7"/>
      <w:lvlJc w:val="left"/>
      <w:pPr>
        <w:ind w:left="720" w:hanging="360"/>
      </w:pPr>
      <w:rPr>
        <w:rFonts w:ascii="Symbol" w:hAnsi="Symbol" w:hint="default"/>
        <w:color w:val="auto"/>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97018B3"/>
    <w:multiLevelType w:val="hybridMultilevel"/>
    <w:tmpl w:val="E5800912"/>
    <w:lvl w:ilvl="0" w:tplc="1AE407E4">
      <w:start w:val="1"/>
      <w:numFmt w:val="bullet"/>
      <w:lvlText w:val=""/>
      <w:lvlPicBulletId w:val="5"/>
      <w:lvlJc w:val="left"/>
      <w:pPr>
        <w:ind w:left="1440" w:hanging="360"/>
      </w:pPr>
      <w:rPr>
        <w:rFonts w:ascii="Symbol" w:hAnsi="Symbol" w:hint="default"/>
        <w:color w:val="auto"/>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8033D3F"/>
    <w:multiLevelType w:val="hybridMultilevel"/>
    <w:tmpl w:val="BD82BD76"/>
    <w:lvl w:ilvl="0" w:tplc="12860C82">
      <w:start w:val="1"/>
      <w:numFmt w:val="bullet"/>
      <w:lvlText w:val=""/>
      <w:lvlPicBulletId w:val="1"/>
      <w:lvlJc w:val="left"/>
      <w:pPr>
        <w:tabs>
          <w:tab w:val="num" w:pos="360"/>
        </w:tabs>
        <w:ind w:left="360" w:hanging="360"/>
      </w:pPr>
      <w:rPr>
        <w:rFonts w:ascii="Symbol" w:hAnsi="Symbol" w:hint="default"/>
      </w:rPr>
    </w:lvl>
    <w:lvl w:ilvl="1" w:tplc="222C5798" w:tentative="1">
      <w:start w:val="1"/>
      <w:numFmt w:val="bullet"/>
      <w:lvlText w:val=""/>
      <w:lvlJc w:val="left"/>
      <w:pPr>
        <w:tabs>
          <w:tab w:val="num" w:pos="1080"/>
        </w:tabs>
        <w:ind w:left="1080" w:hanging="360"/>
      </w:pPr>
      <w:rPr>
        <w:rFonts w:ascii="Symbol" w:hAnsi="Symbol" w:hint="default"/>
      </w:rPr>
    </w:lvl>
    <w:lvl w:ilvl="2" w:tplc="F56A8BFE" w:tentative="1">
      <w:start w:val="1"/>
      <w:numFmt w:val="bullet"/>
      <w:lvlText w:val=""/>
      <w:lvlJc w:val="left"/>
      <w:pPr>
        <w:tabs>
          <w:tab w:val="num" w:pos="1800"/>
        </w:tabs>
        <w:ind w:left="1800" w:hanging="360"/>
      </w:pPr>
      <w:rPr>
        <w:rFonts w:ascii="Symbol" w:hAnsi="Symbol" w:hint="default"/>
      </w:rPr>
    </w:lvl>
    <w:lvl w:ilvl="3" w:tplc="34F60EE8" w:tentative="1">
      <w:start w:val="1"/>
      <w:numFmt w:val="bullet"/>
      <w:lvlText w:val=""/>
      <w:lvlJc w:val="left"/>
      <w:pPr>
        <w:tabs>
          <w:tab w:val="num" w:pos="2520"/>
        </w:tabs>
        <w:ind w:left="2520" w:hanging="360"/>
      </w:pPr>
      <w:rPr>
        <w:rFonts w:ascii="Symbol" w:hAnsi="Symbol" w:hint="default"/>
      </w:rPr>
    </w:lvl>
    <w:lvl w:ilvl="4" w:tplc="45A8C4F2" w:tentative="1">
      <w:start w:val="1"/>
      <w:numFmt w:val="bullet"/>
      <w:lvlText w:val=""/>
      <w:lvlJc w:val="left"/>
      <w:pPr>
        <w:tabs>
          <w:tab w:val="num" w:pos="3240"/>
        </w:tabs>
        <w:ind w:left="3240" w:hanging="360"/>
      </w:pPr>
      <w:rPr>
        <w:rFonts w:ascii="Symbol" w:hAnsi="Symbol" w:hint="default"/>
      </w:rPr>
    </w:lvl>
    <w:lvl w:ilvl="5" w:tplc="F968BB56" w:tentative="1">
      <w:start w:val="1"/>
      <w:numFmt w:val="bullet"/>
      <w:lvlText w:val=""/>
      <w:lvlJc w:val="left"/>
      <w:pPr>
        <w:tabs>
          <w:tab w:val="num" w:pos="3960"/>
        </w:tabs>
        <w:ind w:left="3960" w:hanging="360"/>
      </w:pPr>
      <w:rPr>
        <w:rFonts w:ascii="Symbol" w:hAnsi="Symbol" w:hint="default"/>
      </w:rPr>
    </w:lvl>
    <w:lvl w:ilvl="6" w:tplc="7BACF01E" w:tentative="1">
      <w:start w:val="1"/>
      <w:numFmt w:val="bullet"/>
      <w:lvlText w:val=""/>
      <w:lvlJc w:val="left"/>
      <w:pPr>
        <w:tabs>
          <w:tab w:val="num" w:pos="4680"/>
        </w:tabs>
        <w:ind w:left="4680" w:hanging="360"/>
      </w:pPr>
      <w:rPr>
        <w:rFonts w:ascii="Symbol" w:hAnsi="Symbol" w:hint="default"/>
      </w:rPr>
    </w:lvl>
    <w:lvl w:ilvl="7" w:tplc="78EE9D52" w:tentative="1">
      <w:start w:val="1"/>
      <w:numFmt w:val="bullet"/>
      <w:lvlText w:val=""/>
      <w:lvlJc w:val="left"/>
      <w:pPr>
        <w:tabs>
          <w:tab w:val="num" w:pos="5400"/>
        </w:tabs>
        <w:ind w:left="5400" w:hanging="360"/>
      </w:pPr>
      <w:rPr>
        <w:rFonts w:ascii="Symbol" w:hAnsi="Symbol" w:hint="default"/>
      </w:rPr>
    </w:lvl>
    <w:lvl w:ilvl="8" w:tplc="C76648A2" w:tentative="1">
      <w:start w:val="1"/>
      <w:numFmt w:val="bullet"/>
      <w:lvlText w:val=""/>
      <w:lvlJc w:val="left"/>
      <w:pPr>
        <w:tabs>
          <w:tab w:val="num" w:pos="6120"/>
        </w:tabs>
        <w:ind w:left="6120" w:hanging="360"/>
      </w:pPr>
      <w:rPr>
        <w:rFonts w:ascii="Symbol" w:hAnsi="Symbol" w:hint="default"/>
      </w:rPr>
    </w:lvl>
  </w:abstractNum>
  <w:abstractNum w:abstractNumId="7">
    <w:nsid w:val="28AA4965"/>
    <w:multiLevelType w:val="hybridMultilevel"/>
    <w:tmpl w:val="E31A0EEC"/>
    <w:lvl w:ilvl="0" w:tplc="F3B634CC">
      <w:start w:val="1"/>
      <w:numFmt w:val="bullet"/>
      <w:lvlText w:val=""/>
      <w:lvlPicBulletId w:val="0"/>
      <w:lvlJc w:val="left"/>
      <w:pPr>
        <w:tabs>
          <w:tab w:val="num" w:pos="360"/>
        </w:tabs>
        <w:ind w:left="360" w:hanging="360"/>
      </w:pPr>
      <w:rPr>
        <w:rFonts w:ascii="Symbol" w:hAnsi="Symbol" w:hint="default"/>
      </w:rPr>
    </w:lvl>
    <w:lvl w:ilvl="1" w:tplc="D61A3B72" w:tentative="1">
      <w:start w:val="1"/>
      <w:numFmt w:val="bullet"/>
      <w:lvlText w:val=""/>
      <w:lvlJc w:val="left"/>
      <w:pPr>
        <w:tabs>
          <w:tab w:val="num" w:pos="1080"/>
        </w:tabs>
        <w:ind w:left="1080" w:hanging="360"/>
      </w:pPr>
      <w:rPr>
        <w:rFonts w:ascii="Symbol" w:hAnsi="Symbol" w:hint="default"/>
      </w:rPr>
    </w:lvl>
    <w:lvl w:ilvl="2" w:tplc="EA5A385C" w:tentative="1">
      <w:start w:val="1"/>
      <w:numFmt w:val="bullet"/>
      <w:lvlText w:val=""/>
      <w:lvlJc w:val="left"/>
      <w:pPr>
        <w:tabs>
          <w:tab w:val="num" w:pos="1800"/>
        </w:tabs>
        <w:ind w:left="1800" w:hanging="360"/>
      </w:pPr>
      <w:rPr>
        <w:rFonts w:ascii="Symbol" w:hAnsi="Symbol" w:hint="default"/>
      </w:rPr>
    </w:lvl>
    <w:lvl w:ilvl="3" w:tplc="9B548B00" w:tentative="1">
      <w:start w:val="1"/>
      <w:numFmt w:val="bullet"/>
      <w:lvlText w:val=""/>
      <w:lvlJc w:val="left"/>
      <w:pPr>
        <w:tabs>
          <w:tab w:val="num" w:pos="2520"/>
        </w:tabs>
        <w:ind w:left="2520" w:hanging="360"/>
      </w:pPr>
      <w:rPr>
        <w:rFonts w:ascii="Symbol" w:hAnsi="Symbol" w:hint="default"/>
      </w:rPr>
    </w:lvl>
    <w:lvl w:ilvl="4" w:tplc="10B098D8" w:tentative="1">
      <w:start w:val="1"/>
      <w:numFmt w:val="bullet"/>
      <w:lvlText w:val=""/>
      <w:lvlJc w:val="left"/>
      <w:pPr>
        <w:tabs>
          <w:tab w:val="num" w:pos="3240"/>
        </w:tabs>
        <w:ind w:left="3240" w:hanging="360"/>
      </w:pPr>
      <w:rPr>
        <w:rFonts w:ascii="Symbol" w:hAnsi="Symbol" w:hint="default"/>
      </w:rPr>
    </w:lvl>
    <w:lvl w:ilvl="5" w:tplc="363275E0" w:tentative="1">
      <w:start w:val="1"/>
      <w:numFmt w:val="bullet"/>
      <w:lvlText w:val=""/>
      <w:lvlJc w:val="left"/>
      <w:pPr>
        <w:tabs>
          <w:tab w:val="num" w:pos="3960"/>
        </w:tabs>
        <w:ind w:left="3960" w:hanging="360"/>
      </w:pPr>
      <w:rPr>
        <w:rFonts w:ascii="Symbol" w:hAnsi="Symbol" w:hint="default"/>
      </w:rPr>
    </w:lvl>
    <w:lvl w:ilvl="6" w:tplc="8A1264D2" w:tentative="1">
      <w:start w:val="1"/>
      <w:numFmt w:val="bullet"/>
      <w:lvlText w:val=""/>
      <w:lvlJc w:val="left"/>
      <w:pPr>
        <w:tabs>
          <w:tab w:val="num" w:pos="4680"/>
        </w:tabs>
        <w:ind w:left="4680" w:hanging="360"/>
      </w:pPr>
      <w:rPr>
        <w:rFonts w:ascii="Symbol" w:hAnsi="Symbol" w:hint="default"/>
      </w:rPr>
    </w:lvl>
    <w:lvl w:ilvl="7" w:tplc="6C10208C" w:tentative="1">
      <w:start w:val="1"/>
      <w:numFmt w:val="bullet"/>
      <w:lvlText w:val=""/>
      <w:lvlJc w:val="left"/>
      <w:pPr>
        <w:tabs>
          <w:tab w:val="num" w:pos="5400"/>
        </w:tabs>
        <w:ind w:left="5400" w:hanging="360"/>
      </w:pPr>
      <w:rPr>
        <w:rFonts w:ascii="Symbol" w:hAnsi="Symbol" w:hint="default"/>
      </w:rPr>
    </w:lvl>
    <w:lvl w:ilvl="8" w:tplc="DDB62E82" w:tentative="1">
      <w:start w:val="1"/>
      <w:numFmt w:val="bullet"/>
      <w:lvlText w:val=""/>
      <w:lvlJc w:val="left"/>
      <w:pPr>
        <w:tabs>
          <w:tab w:val="num" w:pos="6120"/>
        </w:tabs>
        <w:ind w:left="6120" w:hanging="360"/>
      </w:pPr>
      <w:rPr>
        <w:rFonts w:ascii="Symbol" w:hAnsi="Symbol" w:hint="default"/>
      </w:rPr>
    </w:lvl>
  </w:abstractNum>
  <w:abstractNum w:abstractNumId="8">
    <w:nsid w:val="297B008E"/>
    <w:multiLevelType w:val="multilevel"/>
    <w:tmpl w:val="DB665D82"/>
    <w:lvl w:ilvl="0">
      <w:start w:val="1"/>
      <w:numFmt w:val="decimal"/>
      <w:lvlText w:val="%1."/>
      <w:lvlJc w:val="left"/>
      <w:pPr>
        <w:ind w:left="1492" w:hanging="360"/>
      </w:pPr>
    </w:lvl>
    <w:lvl w:ilvl="1">
      <w:start w:val="1"/>
      <w:numFmt w:val="decimal"/>
      <w:isLgl/>
      <w:lvlText w:val="%1.%2"/>
      <w:lvlJc w:val="left"/>
      <w:pPr>
        <w:ind w:left="1537" w:hanging="405"/>
      </w:pPr>
      <w:rPr>
        <w:rFonts w:hint="default"/>
      </w:rPr>
    </w:lvl>
    <w:lvl w:ilvl="2">
      <w:start w:val="1"/>
      <w:numFmt w:val="decimal"/>
      <w:isLgl/>
      <w:lvlText w:val="%1.%2.%3"/>
      <w:lvlJc w:val="left"/>
      <w:pPr>
        <w:ind w:left="1852" w:hanging="720"/>
      </w:pPr>
      <w:rPr>
        <w:rFonts w:hint="default"/>
      </w:rPr>
    </w:lvl>
    <w:lvl w:ilvl="3">
      <w:start w:val="1"/>
      <w:numFmt w:val="decimal"/>
      <w:isLgl/>
      <w:lvlText w:val="%1.%2.%3.%4"/>
      <w:lvlJc w:val="left"/>
      <w:pPr>
        <w:ind w:left="2212"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572" w:hanging="1440"/>
      </w:pPr>
      <w:rPr>
        <w:rFonts w:hint="default"/>
      </w:rPr>
    </w:lvl>
    <w:lvl w:ilvl="6">
      <w:start w:val="1"/>
      <w:numFmt w:val="decimal"/>
      <w:isLgl/>
      <w:lvlText w:val="%1.%2.%3.%4.%5.%6.%7"/>
      <w:lvlJc w:val="left"/>
      <w:pPr>
        <w:ind w:left="2572" w:hanging="1440"/>
      </w:pPr>
      <w:rPr>
        <w:rFonts w:hint="default"/>
      </w:rPr>
    </w:lvl>
    <w:lvl w:ilvl="7">
      <w:start w:val="1"/>
      <w:numFmt w:val="decimal"/>
      <w:isLgl/>
      <w:lvlText w:val="%1.%2.%3.%4.%5.%6.%7.%8"/>
      <w:lvlJc w:val="left"/>
      <w:pPr>
        <w:ind w:left="2932" w:hanging="1800"/>
      </w:pPr>
      <w:rPr>
        <w:rFonts w:hint="default"/>
      </w:rPr>
    </w:lvl>
    <w:lvl w:ilvl="8">
      <w:start w:val="1"/>
      <w:numFmt w:val="decimal"/>
      <w:isLgl/>
      <w:lvlText w:val="%1.%2.%3.%4.%5.%6.%7.%8.%9"/>
      <w:lvlJc w:val="left"/>
      <w:pPr>
        <w:ind w:left="2932" w:hanging="1800"/>
      </w:pPr>
      <w:rPr>
        <w:rFonts w:hint="default"/>
      </w:rPr>
    </w:lvl>
  </w:abstractNum>
  <w:abstractNum w:abstractNumId="9">
    <w:nsid w:val="2A757457"/>
    <w:multiLevelType w:val="hybridMultilevel"/>
    <w:tmpl w:val="E16ED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C5D37F7"/>
    <w:multiLevelType w:val="hybridMultilevel"/>
    <w:tmpl w:val="D31C9698"/>
    <w:lvl w:ilvl="0" w:tplc="CB808D14">
      <w:start w:val="1"/>
      <w:numFmt w:val="bullet"/>
      <w:lvlText w:val=""/>
      <w:lvlPicBulletId w:val="9"/>
      <w:lvlJc w:val="left"/>
      <w:pPr>
        <w:ind w:left="720" w:hanging="360"/>
      </w:pPr>
      <w:rPr>
        <w:rFonts w:ascii="Symbol" w:hAnsi="Symbol" w:hint="default"/>
        <w:color w:val="auto"/>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484D07"/>
    <w:multiLevelType w:val="hybridMultilevel"/>
    <w:tmpl w:val="9F84F4CE"/>
    <w:lvl w:ilvl="0" w:tplc="260843B8">
      <w:start w:val="1"/>
      <w:numFmt w:val="bullet"/>
      <w:lvlText w:val=""/>
      <w:lvlPicBulletId w:val="3"/>
      <w:lvlJc w:val="left"/>
      <w:pPr>
        <w:ind w:left="360" w:hanging="360"/>
      </w:pPr>
      <w:rPr>
        <w:rFonts w:ascii="Symbol" w:hAnsi="Symbol" w:hint="default"/>
        <w:color w:val="auto"/>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BE75306"/>
    <w:multiLevelType w:val="hybridMultilevel"/>
    <w:tmpl w:val="9BD6D190"/>
    <w:lvl w:ilvl="0" w:tplc="415CBC2C">
      <w:start w:val="1"/>
      <w:numFmt w:val="bullet"/>
      <w:lvlText w:val=""/>
      <w:lvlPicBulletId w:val="4"/>
      <w:lvlJc w:val="left"/>
      <w:pPr>
        <w:ind w:left="1440" w:hanging="360"/>
      </w:pPr>
      <w:rPr>
        <w:rFonts w:ascii="Symbol" w:hAnsi="Symbol" w:hint="default"/>
        <w:color w:val="auto"/>
        <w:sz w:val="36"/>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3D494EAD"/>
    <w:multiLevelType w:val="hybridMultilevel"/>
    <w:tmpl w:val="324C10CE"/>
    <w:lvl w:ilvl="0" w:tplc="4880B61C">
      <w:start w:val="1"/>
      <w:numFmt w:val="bullet"/>
      <w:lvlText w:val=""/>
      <w:lvlPicBulletId w:val="0"/>
      <w:lvlJc w:val="left"/>
      <w:pPr>
        <w:tabs>
          <w:tab w:val="num" w:pos="360"/>
        </w:tabs>
        <w:ind w:left="360" w:hanging="360"/>
      </w:pPr>
      <w:rPr>
        <w:rFonts w:ascii="Symbol" w:hAnsi="Symbol" w:hint="default"/>
      </w:rPr>
    </w:lvl>
    <w:lvl w:ilvl="1" w:tplc="E6C25B3C" w:tentative="1">
      <w:start w:val="1"/>
      <w:numFmt w:val="bullet"/>
      <w:lvlText w:val=""/>
      <w:lvlJc w:val="left"/>
      <w:pPr>
        <w:tabs>
          <w:tab w:val="num" w:pos="1080"/>
        </w:tabs>
        <w:ind w:left="1080" w:hanging="360"/>
      </w:pPr>
      <w:rPr>
        <w:rFonts w:ascii="Symbol" w:hAnsi="Symbol" w:hint="default"/>
      </w:rPr>
    </w:lvl>
    <w:lvl w:ilvl="2" w:tplc="797AD226" w:tentative="1">
      <w:start w:val="1"/>
      <w:numFmt w:val="bullet"/>
      <w:lvlText w:val=""/>
      <w:lvlJc w:val="left"/>
      <w:pPr>
        <w:tabs>
          <w:tab w:val="num" w:pos="1800"/>
        </w:tabs>
        <w:ind w:left="1800" w:hanging="360"/>
      </w:pPr>
      <w:rPr>
        <w:rFonts w:ascii="Symbol" w:hAnsi="Symbol" w:hint="default"/>
      </w:rPr>
    </w:lvl>
    <w:lvl w:ilvl="3" w:tplc="9F806738" w:tentative="1">
      <w:start w:val="1"/>
      <w:numFmt w:val="bullet"/>
      <w:lvlText w:val=""/>
      <w:lvlJc w:val="left"/>
      <w:pPr>
        <w:tabs>
          <w:tab w:val="num" w:pos="2520"/>
        </w:tabs>
        <w:ind w:left="2520" w:hanging="360"/>
      </w:pPr>
      <w:rPr>
        <w:rFonts w:ascii="Symbol" w:hAnsi="Symbol" w:hint="default"/>
      </w:rPr>
    </w:lvl>
    <w:lvl w:ilvl="4" w:tplc="25A0B32E" w:tentative="1">
      <w:start w:val="1"/>
      <w:numFmt w:val="bullet"/>
      <w:lvlText w:val=""/>
      <w:lvlJc w:val="left"/>
      <w:pPr>
        <w:tabs>
          <w:tab w:val="num" w:pos="3240"/>
        </w:tabs>
        <w:ind w:left="3240" w:hanging="360"/>
      </w:pPr>
      <w:rPr>
        <w:rFonts w:ascii="Symbol" w:hAnsi="Symbol" w:hint="default"/>
      </w:rPr>
    </w:lvl>
    <w:lvl w:ilvl="5" w:tplc="74FC7FCE" w:tentative="1">
      <w:start w:val="1"/>
      <w:numFmt w:val="bullet"/>
      <w:lvlText w:val=""/>
      <w:lvlJc w:val="left"/>
      <w:pPr>
        <w:tabs>
          <w:tab w:val="num" w:pos="3960"/>
        </w:tabs>
        <w:ind w:left="3960" w:hanging="360"/>
      </w:pPr>
      <w:rPr>
        <w:rFonts w:ascii="Symbol" w:hAnsi="Symbol" w:hint="default"/>
      </w:rPr>
    </w:lvl>
    <w:lvl w:ilvl="6" w:tplc="A7D40B0C" w:tentative="1">
      <w:start w:val="1"/>
      <w:numFmt w:val="bullet"/>
      <w:lvlText w:val=""/>
      <w:lvlJc w:val="left"/>
      <w:pPr>
        <w:tabs>
          <w:tab w:val="num" w:pos="4680"/>
        </w:tabs>
        <w:ind w:left="4680" w:hanging="360"/>
      </w:pPr>
      <w:rPr>
        <w:rFonts w:ascii="Symbol" w:hAnsi="Symbol" w:hint="default"/>
      </w:rPr>
    </w:lvl>
    <w:lvl w:ilvl="7" w:tplc="1F30B8C6" w:tentative="1">
      <w:start w:val="1"/>
      <w:numFmt w:val="bullet"/>
      <w:lvlText w:val=""/>
      <w:lvlJc w:val="left"/>
      <w:pPr>
        <w:tabs>
          <w:tab w:val="num" w:pos="5400"/>
        </w:tabs>
        <w:ind w:left="5400" w:hanging="360"/>
      </w:pPr>
      <w:rPr>
        <w:rFonts w:ascii="Symbol" w:hAnsi="Symbol" w:hint="default"/>
      </w:rPr>
    </w:lvl>
    <w:lvl w:ilvl="8" w:tplc="23EEC4FC" w:tentative="1">
      <w:start w:val="1"/>
      <w:numFmt w:val="bullet"/>
      <w:lvlText w:val=""/>
      <w:lvlJc w:val="left"/>
      <w:pPr>
        <w:tabs>
          <w:tab w:val="num" w:pos="6120"/>
        </w:tabs>
        <w:ind w:left="6120" w:hanging="360"/>
      </w:pPr>
      <w:rPr>
        <w:rFonts w:ascii="Symbol" w:hAnsi="Symbol" w:hint="default"/>
      </w:rPr>
    </w:lvl>
  </w:abstractNum>
  <w:abstractNum w:abstractNumId="14">
    <w:nsid w:val="41005313"/>
    <w:multiLevelType w:val="hybridMultilevel"/>
    <w:tmpl w:val="72243AAA"/>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5">
    <w:nsid w:val="449711A7"/>
    <w:multiLevelType w:val="hybridMultilevel"/>
    <w:tmpl w:val="B6E05BC6"/>
    <w:lvl w:ilvl="0" w:tplc="1FE6237A">
      <w:start w:val="1"/>
      <w:numFmt w:val="bullet"/>
      <w:lvlText w:val=""/>
      <w:lvlPicBulletId w:val="1"/>
      <w:lvlJc w:val="left"/>
      <w:pPr>
        <w:tabs>
          <w:tab w:val="num" w:pos="360"/>
        </w:tabs>
        <w:ind w:left="360" w:hanging="360"/>
      </w:pPr>
      <w:rPr>
        <w:rFonts w:ascii="Symbol" w:hAnsi="Symbol" w:hint="default"/>
      </w:rPr>
    </w:lvl>
    <w:lvl w:ilvl="1" w:tplc="59C2EFBA" w:tentative="1">
      <w:start w:val="1"/>
      <w:numFmt w:val="bullet"/>
      <w:lvlText w:val=""/>
      <w:lvlJc w:val="left"/>
      <w:pPr>
        <w:tabs>
          <w:tab w:val="num" w:pos="1080"/>
        </w:tabs>
        <w:ind w:left="1080" w:hanging="360"/>
      </w:pPr>
      <w:rPr>
        <w:rFonts w:ascii="Symbol" w:hAnsi="Symbol" w:hint="default"/>
      </w:rPr>
    </w:lvl>
    <w:lvl w:ilvl="2" w:tplc="41B63774" w:tentative="1">
      <w:start w:val="1"/>
      <w:numFmt w:val="bullet"/>
      <w:lvlText w:val=""/>
      <w:lvlJc w:val="left"/>
      <w:pPr>
        <w:tabs>
          <w:tab w:val="num" w:pos="1800"/>
        </w:tabs>
        <w:ind w:left="1800" w:hanging="360"/>
      </w:pPr>
      <w:rPr>
        <w:rFonts w:ascii="Symbol" w:hAnsi="Symbol" w:hint="default"/>
      </w:rPr>
    </w:lvl>
    <w:lvl w:ilvl="3" w:tplc="BAB2DE1E" w:tentative="1">
      <w:start w:val="1"/>
      <w:numFmt w:val="bullet"/>
      <w:lvlText w:val=""/>
      <w:lvlJc w:val="left"/>
      <w:pPr>
        <w:tabs>
          <w:tab w:val="num" w:pos="2520"/>
        </w:tabs>
        <w:ind w:left="2520" w:hanging="360"/>
      </w:pPr>
      <w:rPr>
        <w:rFonts w:ascii="Symbol" w:hAnsi="Symbol" w:hint="default"/>
      </w:rPr>
    </w:lvl>
    <w:lvl w:ilvl="4" w:tplc="E844194C" w:tentative="1">
      <w:start w:val="1"/>
      <w:numFmt w:val="bullet"/>
      <w:lvlText w:val=""/>
      <w:lvlJc w:val="left"/>
      <w:pPr>
        <w:tabs>
          <w:tab w:val="num" w:pos="3240"/>
        </w:tabs>
        <w:ind w:left="3240" w:hanging="360"/>
      </w:pPr>
      <w:rPr>
        <w:rFonts w:ascii="Symbol" w:hAnsi="Symbol" w:hint="default"/>
      </w:rPr>
    </w:lvl>
    <w:lvl w:ilvl="5" w:tplc="CD0CE5FA" w:tentative="1">
      <w:start w:val="1"/>
      <w:numFmt w:val="bullet"/>
      <w:lvlText w:val=""/>
      <w:lvlJc w:val="left"/>
      <w:pPr>
        <w:tabs>
          <w:tab w:val="num" w:pos="3960"/>
        </w:tabs>
        <w:ind w:left="3960" w:hanging="360"/>
      </w:pPr>
      <w:rPr>
        <w:rFonts w:ascii="Symbol" w:hAnsi="Symbol" w:hint="default"/>
      </w:rPr>
    </w:lvl>
    <w:lvl w:ilvl="6" w:tplc="3834A4B0" w:tentative="1">
      <w:start w:val="1"/>
      <w:numFmt w:val="bullet"/>
      <w:lvlText w:val=""/>
      <w:lvlJc w:val="left"/>
      <w:pPr>
        <w:tabs>
          <w:tab w:val="num" w:pos="4680"/>
        </w:tabs>
        <w:ind w:left="4680" w:hanging="360"/>
      </w:pPr>
      <w:rPr>
        <w:rFonts w:ascii="Symbol" w:hAnsi="Symbol" w:hint="default"/>
      </w:rPr>
    </w:lvl>
    <w:lvl w:ilvl="7" w:tplc="7B3C2576" w:tentative="1">
      <w:start w:val="1"/>
      <w:numFmt w:val="bullet"/>
      <w:lvlText w:val=""/>
      <w:lvlJc w:val="left"/>
      <w:pPr>
        <w:tabs>
          <w:tab w:val="num" w:pos="5400"/>
        </w:tabs>
        <w:ind w:left="5400" w:hanging="360"/>
      </w:pPr>
      <w:rPr>
        <w:rFonts w:ascii="Symbol" w:hAnsi="Symbol" w:hint="default"/>
      </w:rPr>
    </w:lvl>
    <w:lvl w:ilvl="8" w:tplc="8D4ACA20" w:tentative="1">
      <w:start w:val="1"/>
      <w:numFmt w:val="bullet"/>
      <w:lvlText w:val=""/>
      <w:lvlJc w:val="left"/>
      <w:pPr>
        <w:tabs>
          <w:tab w:val="num" w:pos="6120"/>
        </w:tabs>
        <w:ind w:left="6120" w:hanging="360"/>
      </w:pPr>
      <w:rPr>
        <w:rFonts w:ascii="Symbol" w:hAnsi="Symbol" w:hint="default"/>
      </w:rPr>
    </w:lvl>
  </w:abstractNum>
  <w:abstractNum w:abstractNumId="16">
    <w:nsid w:val="4929010C"/>
    <w:multiLevelType w:val="hybridMultilevel"/>
    <w:tmpl w:val="B6C08674"/>
    <w:lvl w:ilvl="0" w:tplc="25BE76F6">
      <w:start w:val="1"/>
      <w:numFmt w:val="bullet"/>
      <w:lvlText w:val=""/>
      <w:lvlPicBulletId w:val="8"/>
      <w:lvlJc w:val="left"/>
      <w:pPr>
        <w:ind w:left="720" w:hanging="360"/>
      </w:pPr>
      <w:rPr>
        <w:rFonts w:ascii="Symbol" w:hAnsi="Symbol" w:hint="default"/>
        <w:color w:val="auto"/>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22A4919"/>
    <w:multiLevelType w:val="hybridMultilevel"/>
    <w:tmpl w:val="FF724CE6"/>
    <w:lvl w:ilvl="0" w:tplc="25BE76F6">
      <w:start w:val="1"/>
      <w:numFmt w:val="bullet"/>
      <w:lvlText w:val=""/>
      <w:lvlPicBulletId w:val="8"/>
      <w:lvlJc w:val="left"/>
      <w:pPr>
        <w:ind w:left="720" w:hanging="360"/>
      </w:pPr>
      <w:rPr>
        <w:rFonts w:ascii="Symbol" w:hAnsi="Symbol" w:hint="default"/>
        <w:color w:val="auto"/>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9F6754C"/>
    <w:multiLevelType w:val="hybridMultilevel"/>
    <w:tmpl w:val="9F1EACF8"/>
    <w:lvl w:ilvl="0" w:tplc="14BA6DFE">
      <w:start w:val="1"/>
      <w:numFmt w:val="bullet"/>
      <w:lvlText w:val=""/>
      <w:lvlPicBulletId w:val="11"/>
      <w:lvlJc w:val="left"/>
      <w:pPr>
        <w:ind w:left="720" w:hanging="360"/>
      </w:pPr>
      <w:rPr>
        <w:rFonts w:ascii="Symbol" w:hAnsi="Symbol" w:hint="default"/>
        <w:color w:val="auto"/>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C14317F"/>
    <w:multiLevelType w:val="multilevel"/>
    <w:tmpl w:val="18FE3CAA"/>
    <w:lvl w:ilvl="0">
      <w:start w:val="1"/>
      <w:numFmt w:val="decimal"/>
      <w:lvlText w:val="%1"/>
      <w:lvlJc w:val="left"/>
      <w:pPr>
        <w:ind w:left="720" w:hanging="720"/>
      </w:pPr>
      <w:rPr>
        <w:rFonts w:hint="default"/>
      </w:rPr>
    </w:lvl>
    <w:lvl w:ilvl="1">
      <w:start w:val="2"/>
      <w:numFmt w:val="decimal"/>
      <w:lvlText w:val="%1.%2"/>
      <w:lvlJc w:val="left"/>
      <w:pPr>
        <w:ind w:left="840" w:hanging="72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abstractNum w:abstractNumId="20">
    <w:nsid w:val="612D3EDF"/>
    <w:multiLevelType w:val="hybridMultilevel"/>
    <w:tmpl w:val="5D0C23AE"/>
    <w:lvl w:ilvl="0" w:tplc="080A0001">
      <w:start w:val="1"/>
      <w:numFmt w:val="bullet"/>
      <w:lvlText w:val=""/>
      <w:lvlJc w:val="left"/>
      <w:pPr>
        <w:tabs>
          <w:tab w:val="num" w:pos="720"/>
        </w:tabs>
        <w:ind w:left="720" w:hanging="360"/>
      </w:pPr>
      <w:rPr>
        <w:rFonts w:ascii="Symbol" w:hAnsi="Symbol" w:hint="default"/>
      </w:rPr>
    </w:lvl>
    <w:lvl w:ilvl="1" w:tplc="D5BE562A" w:tentative="1">
      <w:start w:val="1"/>
      <w:numFmt w:val="bullet"/>
      <w:lvlText w:val=""/>
      <w:lvlJc w:val="left"/>
      <w:pPr>
        <w:tabs>
          <w:tab w:val="num" w:pos="1440"/>
        </w:tabs>
        <w:ind w:left="1440" w:hanging="360"/>
      </w:pPr>
      <w:rPr>
        <w:rFonts w:ascii="Symbol" w:hAnsi="Symbol" w:hint="default"/>
      </w:rPr>
    </w:lvl>
    <w:lvl w:ilvl="2" w:tplc="1A80EAEA" w:tentative="1">
      <w:start w:val="1"/>
      <w:numFmt w:val="bullet"/>
      <w:lvlText w:val=""/>
      <w:lvlJc w:val="left"/>
      <w:pPr>
        <w:tabs>
          <w:tab w:val="num" w:pos="2160"/>
        </w:tabs>
        <w:ind w:left="2160" w:hanging="360"/>
      </w:pPr>
      <w:rPr>
        <w:rFonts w:ascii="Symbol" w:hAnsi="Symbol" w:hint="default"/>
      </w:rPr>
    </w:lvl>
    <w:lvl w:ilvl="3" w:tplc="B7EC546E" w:tentative="1">
      <w:start w:val="1"/>
      <w:numFmt w:val="bullet"/>
      <w:lvlText w:val=""/>
      <w:lvlJc w:val="left"/>
      <w:pPr>
        <w:tabs>
          <w:tab w:val="num" w:pos="2880"/>
        </w:tabs>
        <w:ind w:left="2880" w:hanging="360"/>
      </w:pPr>
      <w:rPr>
        <w:rFonts w:ascii="Symbol" w:hAnsi="Symbol" w:hint="default"/>
      </w:rPr>
    </w:lvl>
    <w:lvl w:ilvl="4" w:tplc="8514B9B0" w:tentative="1">
      <w:start w:val="1"/>
      <w:numFmt w:val="bullet"/>
      <w:lvlText w:val=""/>
      <w:lvlJc w:val="left"/>
      <w:pPr>
        <w:tabs>
          <w:tab w:val="num" w:pos="3600"/>
        </w:tabs>
        <w:ind w:left="3600" w:hanging="360"/>
      </w:pPr>
      <w:rPr>
        <w:rFonts w:ascii="Symbol" w:hAnsi="Symbol" w:hint="default"/>
      </w:rPr>
    </w:lvl>
    <w:lvl w:ilvl="5" w:tplc="33E2E364" w:tentative="1">
      <w:start w:val="1"/>
      <w:numFmt w:val="bullet"/>
      <w:lvlText w:val=""/>
      <w:lvlJc w:val="left"/>
      <w:pPr>
        <w:tabs>
          <w:tab w:val="num" w:pos="4320"/>
        </w:tabs>
        <w:ind w:left="4320" w:hanging="360"/>
      </w:pPr>
      <w:rPr>
        <w:rFonts w:ascii="Symbol" w:hAnsi="Symbol" w:hint="default"/>
      </w:rPr>
    </w:lvl>
    <w:lvl w:ilvl="6" w:tplc="1D06BD80" w:tentative="1">
      <w:start w:val="1"/>
      <w:numFmt w:val="bullet"/>
      <w:lvlText w:val=""/>
      <w:lvlJc w:val="left"/>
      <w:pPr>
        <w:tabs>
          <w:tab w:val="num" w:pos="5040"/>
        </w:tabs>
        <w:ind w:left="5040" w:hanging="360"/>
      </w:pPr>
      <w:rPr>
        <w:rFonts w:ascii="Symbol" w:hAnsi="Symbol" w:hint="default"/>
      </w:rPr>
    </w:lvl>
    <w:lvl w:ilvl="7" w:tplc="7676F63E" w:tentative="1">
      <w:start w:val="1"/>
      <w:numFmt w:val="bullet"/>
      <w:lvlText w:val=""/>
      <w:lvlJc w:val="left"/>
      <w:pPr>
        <w:tabs>
          <w:tab w:val="num" w:pos="5760"/>
        </w:tabs>
        <w:ind w:left="5760" w:hanging="360"/>
      </w:pPr>
      <w:rPr>
        <w:rFonts w:ascii="Symbol" w:hAnsi="Symbol" w:hint="default"/>
      </w:rPr>
    </w:lvl>
    <w:lvl w:ilvl="8" w:tplc="66D09D12" w:tentative="1">
      <w:start w:val="1"/>
      <w:numFmt w:val="bullet"/>
      <w:lvlText w:val=""/>
      <w:lvlJc w:val="left"/>
      <w:pPr>
        <w:tabs>
          <w:tab w:val="num" w:pos="6480"/>
        </w:tabs>
        <w:ind w:left="6480" w:hanging="360"/>
      </w:pPr>
      <w:rPr>
        <w:rFonts w:ascii="Symbol" w:hAnsi="Symbol" w:hint="default"/>
      </w:rPr>
    </w:lvl>
  </w:abstractNum>
  <w:abstractNum w:abstractNumId="21">
    <w:nsid w:val="61C353EF"/>
    <w:multiLevelType w:val="hybridMultilevel"/>
    <w:tmpl w:val="95A2D330"/>
    <w:lvl w:ilvl="0" w:tplc="6DF85BB2">
      <w:start w:val="1"/>
      <w:numFmt w:val="bullet"/>
      <w:lvlText w:val=""/>
      <w:lvlPicBulletId w:val="7"/>
      <w:lvlJc w:val="left"/>
      <w:pPr>
        <w:ind w:left="720" w:hanging="360"/>
      </w:pPr>
      <w:rPr>
        <w:rFonts w:ascii="Symbol" w:hAnsi="Symbol" w:hint="default"/>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2B87F9C"/>
    <w:multiLevelType w:val="hybridMultilevel"/>
    <w:tmpl w:val="A46676EE"/>
    <w:lvl w:ilvl="0" w:tplc="25BE76F6">
      <w:start w:val="1"/>
      <w:numFmt w:val="bullet"/>
      <w:lvlText w:val=""/>
      <w:lvlPicBulletId w:val="8"/>
      <w:lvlJc w:val="left"/>
      <w:pPr>
        <w:ind w:left="720" w:hanging="360"/>
      </w:pPr>
      <w:rPr>
        <w:rFonts w:ascii="Symbol" w:hAnsi="Symbol" w:hint="default"/>
        <w:color w:val="auto"/>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EA501DF"/>
    <w:multiLevelType w:val="hybridMultilevel"/>
    <w:tmpl w:val="85B851A8"/>
    <w:lvl w:ilvl="0" w:tplc="4880B61C">
      <w:start w:val="1"/>
      <w:numFmt w:val="bullet"/>
      <w:lvlText w:val=""/>
      <w:lvlPicBulletId w:val="0"/>
      <w:lvlJc w:val="left"/>
      <w:pPr>
        <w:tabs>
          <w:tab w:val="num" w:pos="1134"/>
        </w:tabs>
        <w:ind w:left="720" w:hanging="360"/>
      </w:pPr>
      <w:rPr>
        <w:rFonts w:ascii="Symbol" w:hAnsi="Symbol" w:hint="default"/>
      </w:rPr>
    </w:lvl>
    <w:lvl w:ilvl="1" w:tplc="4880B61C">
      <w:start w:val="1"/>
      <w:numFmt w:val="bullet"/>
      <w:lvlText w:val=""/>
      <w:lvlPicBulletId w:val="0"/>
      <w:lvlJc w:val="left"/>
      <w:pPr>
        <w:tabs>
          <w:tab w:val="num" w:pos="1440"/>
        </w:tabs>
        <w:ind w:left="1440" w:hanging="360"/>
      </w:pPr>
      <w:rPr>
        <w:rFonts w:ascii="Symbol" w:hAnsi="Symbol" w:hint="default"/>
      </w:rPr>
    </w:lvl>
    <w:lvl w:ilvl="2" w:tplc="4B9E5B22" w:tentative="1">
      <w:start w:val="1"/>
      <w:numFmt w:val="bullet"/>
      <w:lvlText w:val=""/>
      <w:lvlJc w:val="left"/>
      <w:pPr>
        <w:tabs>
          <w:tab w:val="num" w:pos="2160"/>
        </w:tabs>
        <w:ind w:left="2160" w:hanging="360"/>
      </w:pPr>
      <w:rPr>
        <w:rFonts w:ascii="Symbol" w:hAnsi="Symbol" w:hint="default"/>
      </w:rPr>
    </w:lvl>
    <w:lvl w:ilvl="3" w:tplc="A5240008" w:tentative="1">
      <w:start w:val="1"/>
      <w:numFmt w:val="bullet"/>
      <w:lvlText w:val=""/>
      <w:lvlJc w:val="left"/>
      <w:pPr>
        <w:tabs>
          <w:tab w:val="num" w:pos="2880"/>
        </w:tabs>
        <w:ind w:left="2880" w:hanging="360"/>
      </w:pPr>
      <w:rPr>
        <w:rFonts w:ascii="Symbol" w:hAnsi="Symbol" w:hint="default"/>
      </w:rPr>
    </w:lvl>
    <w:lvl w:ilvl="4" w:tplc="746A6876" w:tentative="1">
      <w:start w:val="1"/>
      <w:numFmt w:val="bullet"/>
      <w:lvlText w:val=""/>
      <w:lvlJc w:val="left"/>
      <w:pPr>
        <w:tabs>
          <w:tab w:val="num" w:pos="3600"/>
        </w:tabs>
        <w:ind w:left="3600" w:hanging="360"/>
      </w:pPr>
      <w:rPr>
        <w:rFonts w:ascii="Symbol" w:hAnsi="Symbol" w:hint="default"/>
      </w:rPr>
    </w:lvl>
    <w:lvl w:ilvl="5" w:tplc="1090A70E" w:tentative="1">
      <w:start w:val="1"/>
      <w:numFmt w:val="bullet"/>
      <w:lvlText w:val=""/>
      <w:lvlJc w:val="left"/>
      <w:pPr>
        <w:tabs>
          <w:tab w:val="num" w:pos="4320"/>
        </w:tabs>
        <w:ind w:left="4320" w:hanging="360"/>
      </w:pPr>
      <w:rPr>
        <w:rFonts w:ascii="Symbol" w:hAnsi="Symbol" w:hint="default"/>
      </w:rPr>
    </w:lvl>
    <w:lvl w:ilvl="6" w:tplc="742C4530" w:tentative="1">
      <w:start w:val="1"/>
      <w:numFmt w:val="bullet"/>
      <w:lvlText w:val=""/>
      <w:lvlJc w:val="left"/>
      <w:pPr>
        <w:tabs>
          <w:tab w:val="num" w:pos="5040"/>
        </w:tabs>
        <w:ind w:left="5040" w:hanging="360"/>
      </w:pPr>
      <w:rPr>
        <w:rFonts w:ascii="Symbol" w:hAnsi="Symbol" w:hint="default"/>
      </w:rPr>
    </w:lvl>
    <w:lvl w:ilvl="7" w:tplc="C94852B0" w:tentative="1">
      <w:start w:val="1"/>
      <w:numFmt w:val="bullet"/>
      <w:lvlText w:val=""/>
      <w:lvlJc w:val="left"/>
      <w:pPr>
        <w:tabs>
          <w:tab w:val="num" w:pos="5760"/>
        </w:tabs>
        <w:ind w:left="5760" w:hanging="360"/>
      </w:pPr>
      <w:rPr>
        <w:rFonts w:ascii="Symbol" w:hAnsi="Symbol" w:hint="default"/>
      </w:rPr>
    </w:lvl>
    <w:lvl w:ilvl="8" w:tplc="8348D8E0" w:tentative="1">
      <w:start w:val="1"/>
      <w:numFmt w:val="bullet"/>
      <w:lvlText w:val=""/>
      <w:lvlJc w:val="left"/>
      <w:pPr>
        <w:tabs>
          <w:tab w:val="num" w:pos="6480"/>
        </w:tabs>
        <w:ind w:left="6480" w:hanging="360"/>
      </w:pPr>
      <w:rPr>
        <w:rFonts w:ascii="Symbol" w:hAnsi="Symbol" w:hint="default"/>
      </w:rPr>
    </w:lvl>
  </w:abstractNum>
  <w:abstractNum w:abstractNumId="24">
    <w:nsid w:val="78314428"/>
    <w:multiLevelType w:val="hybridMultilevel"/>
    <w:tmpl w:val="D95ADD2A"/>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5">
    <w:nsid w:val="795869B2"/>
    <w:multiLevelType w:val="hybridMultilevel"/>
    <w:tmpl w:val="39328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A0B4EFA"/>
    <w:multiLevelType w:val="multilevel"/>
    <w:tmpl w:val="4290F8F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7">
    <w:nsid w:val="7A960E42"/>
    <w:multiLevelType w:val="hybridMultilevel"/>
    <w:tmpl w:val="2220853E"/>
    <w:lvl w:ilvl="0" w:tplc="681C7DA6">
      <w:start w:val="1"/>
      <w:numFmt w:val="bullet"/>
      <w:lvlText w:val=""/>
      <w:lvlPicBulletId w:val="2"/>
      <w:lvlJc w:val="left"/>
      <w:pPr>
        <w:tabs>
          <w:tab w:val="num" w:pos="720"/>
        </w:tabs>
        <w:ind w:left="720" w:hanging="360"/>
      </w:pPr>
      <w:rPr>
        <w:rFonts w:ascii="Symbol" w:hAnsi="Symbol" w:hint="default"/>
      </w:rPr>
    </w:lvl>
    <w:lvl w:ilvl="1" w:tplc="D5BE562A" w:tentative="1">
      <w:start w:val="1"/>
      <w:numFmt w:val="bullet"/>
      <w:lvlText w:val=""/>
      <w:lvlJc w:val="left"/>
      <w:pPr>
        <w:tabs>
          <w:tab w:val="num" w:pos="1440"/>
        </w:tabs>
        <w:ind w:left="1440" w:hanging="360"/>
      </w:pPr>
      <w:rPr>
        <w:rFonts w:ascii="Symbol" w:hAnsi="Symbol" w:hint="default"/>
      </w:rPr>
    </w:lvl>
    <w:lvl w:ilvl="2" w:tplc="1A80EAEA" w:tentative="1">
      <w:start w:val="1"/>
      <w:numFmt w:val="bullet"/>
      <w:lvlText w:val=""/>
      <w:lvlJc w:val="left"/>
      <w:pPr>
        <w:tabs>
          <w:tab w:val="num" w:pos="2160"/>
        </w:tabs>
        <w:ind w:left="2160" w:hanging="360"/>
      </w:pPr>
      <w:rPr>
        <w:rFonts w:ascii="Symbol" w:hAnsi="Symbol" w:hint="default"/>
      </w:rPr>
    </w:lvl>
    <w:lvl w:ilvl="3" w:tplc="B7EC546E" w:tentative="1">
      <w:start w:val="1"/>
      <w:numFmt w:val="bullet"/>
      <w:lvlText w:val=""/>
      <w:lvlJc w:val="left"/>
      <w:pPr>
        <w:tabs>
          <w:tab w:val="num" w:pos="2880"/>
        </w:tabs>
        <w:ind w:left="2880" w:hanging="360"/>
      </w:pPr>
      <w:rPr>
        <w:rFonts w:ascii="Symbol" w:hAnsi="Symbol" w:hint="default"/>
      </w:rPr>
    </w:lvl>
    <w:lvl w:ilvl="4" w:tplc="8514B9B0" w:tentative="1">
      <w:start w:val="1"/>
      <w:numFmt w:val="bullet"/>
      <w:lvlText w:val=""/>
      <w:lvlJc w:val="left"/>
      <w:pPr>
        <w:tabs>
          <w:tab w:val="num" w:pos="3600"/>
        </w:tabs>
        <w:ind w:left="3600" w:hanging="360"/>
      </w:pPr>
      <w:rPr>
        <w:rFonts w:ascii="Symbol" w:hAnsi="Symbol" w:hint="default"/>
      </w:rPr>
    </w:lvl>
    <w:lvl w:ilvl="5" w:tplc="33E2E364" w:tentative="1">
      <w:start w:val="1"/>
      <w:numFmt w:val="bullet"/>
      <w:lvlText w:val=""/>
      <w:lvlJc w:val="left"/>
      <w:pPr>
        <w:tabs>
          <w:tab w:val="num" w:pos="4320"/>
        </w:tabs>
        <w:ind w:left="4320" w:hanging="360"/>
      </w:pPr>
      <w:rPr>
        <w:rFonts w:ascii="Symbol" w:hAnsi="Symbol" w:hint="default"/>
      </w:rPr>
    </w:lvl>
    <w:lvl w:ilvl="6" w:tplc="1D06BD80" w:tentative="1">
      <w:start w:val="1"/>
      <w:numFmt w:val="bullet"/>
      <w:lvlText w:val=""/>
      <w:lvlJc w:val="left"/>
      <w:pPr>
        <w:tabs>
          <w:tab w:val="num" w:pos="5040"/>
        </w:tabs>
        <w:ind w:left="5040" w:hanging="360"/>
      </w:pPr>
      <w:rPr>
        <w:rFonts w:ascii="Symbol" w:hAnsi="Symbol" w:hint="default"/>
      </w:rPr>
    </w:lvl>
    <w:lvl w:ilvl="7" w:tplc="7676F63E" w:tentative="1">
      <w:start w:val="1"/>
      <w:numFmt w:val="bullet"/>
      <w:lvlText w:val=""/>
      <w:lvlJc w:val="left"/>
      <w:pPr>
        <w:tabs>
          <w:tab w:val="num" w:pos="5760"/>
        </w:tabs>
        <w:ind w:left="5760" w:hanging="360"/>
      </w:pPr>
      <w:rPr>
        <w:rFonts w:ascii="Symbol" w:hAnsi="Symbol" w:hint="default"/>
      </w:rPr>
    </w:lvl>
    <w:lvl w:ilvl="8" w:tplc="66D09D12" w:tentative="1">
      <w:start w:val="1"/>
      <w:numFmt w:val="bullet"/>
      <w:lvlText w:val=""/>
      <w:lvlJc w:val="left"/>
      <w:pPr>
        <w:tabs>
          <w:tab w:val="num" w:pos="6480"/>
        </w:tabs>
        <w:ind w:left="6480" w:hanging="360"/>
      </w:pPr>
      <w:rPr>
        <w:rFonts w:ascii="Symbol" w:hAnsi="Symbol" w:hint="default"/>
      </w:rPr>
    </w:lvl>
  </w:abstractNum>
  <w:abstractNum w:abstractNumId="28">
    <w:nsid w:val="7C3856D1"/>
    <w:multiLevelType w:val="hybridMultilevel"/>
    <w:tmpl w:val="C9729D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C842547"/>
    <w:multiLevelType w:val="hybridMultilevel"/>
    <w:tmpl w:val="2CF62888"/>
    <w:lvl w:ilvl="0" w:tplc="37648292">
      <w:start w:val="1"/>
      <w:numFmt w:val="bullet"/>
      <w:lvlText w:val=""/>
      <w:lvlPicBulletId w:val="10"/>
      <w:lvlJc w:val="left"/>
      <w:pPr>
        <w:ind w:left="720" w:hanging="360"/>
      </w:pPr>
      <w:rPr>
        <w:rFonts w:ascii="Symbol" w:hAnsi="Symbol" w:hint="default"/>
        <w:color w:val="auto"/>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8"/>
  </w:num>
  <w:num w:numId="2">
    <w:abstractNumId w:val="3"/>
  </w:num>
  <w:num w:numId="3">
    <w:abstractNumId w:val="1"/>
  </w:num>
  <w:num w:numId="4">
    <w:abstractNumId w:val="8"/>
  </w:num>
  <w:num w:numId="5">
    <w:abstractNumId w:val="14"/>
  </w:num>
  <w:num w:numId="6">
    <w:abstractNumId w:val="24"/>
  </w:num>
  <w:num w:numId="7">
    <w:abstractNumId w:val="26"/>
  </w:num>
  <w:num w:numId="8">
    <w:abstractNumId w:val="19"/>
  </w:num>
  <w:num w:numId="9">
    <w:abstractNumId w:val="6"/>
  </w:num>
  <w:num w:numId="10">
    <w:abstractNumId w:val="15"/>
  </w:num>
  <w:num w:numId="11">
    <w:abstractNumId w:val="13"/>
  </w:num>
  <w:num w:numId="12">
    <w:abstractNumId w:val="7"/>
  </w:num>
  <w:num w:numId="13">
    <w:abstractNumId w:val="23"/>
  </w:num>
  <w:num w:numId="14">
    <w:abstractNumId w:val="27"/>
  </w:num>
  <w:num w:numId="15">
    <w:abstractNumId w:val="20"/>
  </w:num>
  <w:num w:numId="16">
    <w:abstractNumId w:val="25"/>
  </w:num>
  <w:num w:numId="17">
    <w:abstractNumId w:val="11"/>
  </w:num>
  <w:num w:numId="18">
    <w:abstractNumId w:val="2"/>
  </w:num>
  <w:num w:numId="19">
    <w:abstractNumId w:val="12"/>
  </w:num>
  <w:num w:numId="20">
    <w:abstractNumId w:val="5"/>
  </w:num>
  <w:num w:numId="21">
    <w:abstractNumId w:val="0"/>
  </w:num>
  <w:num w:numId="22">
    <w:abstractNumId w:val="21"/>
  </w:num>
  <w:num w:numId="23">
    <w:abstractNumId w:val="4"/>
  </w:num>
  <w:num w:numId="24">
    <w:abstractNumId w:val="22"/>
  </w:num>
  <w:num w:numId="25">
    <w:abstractNumId w:val="17"/>
  </w:num>
  <w:num w:numId="26">
    <w:abstractNumId w:val="10"/>
  </w:num>
  <w:num w:numId="27">
    <w:abstractNumId w:val="29"/>
  </w:num>
  <w:num w:numId="28">
    <w:abstractNumId w:val="18"/>
  </w:num>
  <w:num w:numId="29">
    <w:abstractNumId w:val="16"/>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numStart w:val="4"/>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5A8"/>
    <w:rsid w:val="00002FF0"/>
    <w:rsid w:val="00020782"/>
    <w:rsid w:val="00036A6E"/>
    <w:rsid w:val="000552F5"/>
    <w:rsid w:val="00082EBA"/>
    <w:rsid w:val="000A2189"/>
    <w:rsid w:val="000B7E06"/>
    <w:rsid w:val="000C24AB"/>
    <w:rsid w:val="000C48C1"/>
    <w:rsid w:val="000E466E"/>
    <w:rsid w:val="000E692C"/>
    <w:rsid w:val="000E6CE1"/>
    <w:rsid w:val="001115BD"/>
    <w:rsid w:val="001367A3"/>
    <w:rsid w:val="001A1FC2"/>
    <w:rsid w:val="001A6935"/>
    <w:rsid w:val="001C3B57"/>
    <w:rsid w:val="001C57BA"/>
    <w:rsid w:val="001D0897"/>
    <w:rsid w:val="001D48E8"/>
    <w:rsid w:val="001E798A"/>
    <w:rsid w:val="0020095D"/>
    <w:rsid w:val="002034DC"/>
    <w:rsid w:val="00203DDE"/>
    <w:rsid w:val="00204156"/>
    <w:rsid w:val="00205194"/>
    <w:rsid w:val="002143B6"/>
    <w:rsid w:val="00215D6A"/>
    <w:rsid w:val="00250850"/>
    <w:rsid w:val="002558E3"/>
    <w:rsid w:val="00261AA2"/>
    <w:rsid w:val="0027040B"/>
    <w:rsid w:val="0027563C"/>
    <w:rsid w:val="00293B5A"/>
    <w:rsid w:val="002C72FB"/>
    <w:rsid w:val="002E182E"/>
    <w:rsid w:val="002E5E89"/>
    <w:rsid w:val="002F2F46"/>
    <w:rsid w:val="002F393E"/>
    <w:rsid w:val="002F3D70"/>
    <w:rsid w:val="002F4917"/>
    <w:rsid w:val="002F6412"/>
    <w:rsid w:val="003050D0"/>
    <w:rsid w:val="00326604"/>
    <w:rsid w:val="00333D80"/>
    <w:rsid w:val="003451BA"/>
    <w:rsid w:val="003524DB"/>
    <w:rsid w:val="0037149A"/>
    <w:rsid w:val="003746EA"/>
    <w:rsid w:val="003758E9"/>
    <w:rsid w:val="00383C7A"/>
    <w:rsid w:val="00384CC4"/>
    <w:rsid w:val="003876D6"/>
    <w:rsid w:val="00393342"/>
    <w:rsid w:val="003B41FA"/>
    <w:rsid w:val="003B44D8"/>
    <w:rsid w:val="003C1098"/>
    <w:rsid w:val="003D0A11"/>
    <w:rsid w:val="003E3262"/>
    <w:rsid w:val="003F32DB"/>
    <w:rsid w:val="003F5829"/>
    <w:rsid w:val="0041062A"/>
    <w:rsid w:val="00416B9C"/>
    <w:rsid w:val="00427EA4"/>
    <w:rsid w:val="00440D37"/>
    <w:rsid w:val="00446BD1"/>
    <w:rsid w:val="00446D86"/>
    <w:rsid w:val="00456F27"/>
    <w:rsid w:val="004733A8"/>
    <w:rsid w:val="00475B98"/>
    <w:rsid w:val="00482384"/>
    <w:rsid w:val="00484FC6"/>
    <w:rsid w:val="00487E5A"/>
    <w:rsid w:val="004C5E0A"/>
    <w:rsid w:val="004D63A2"/>
    <w:rsid w:val="004F6C40"/>
    <w:rsid w:val="00522AB6"/>
    <w:rsid w:val="005253F1"/>
    <w:rsid w:val="005258BB"/>
    <w:rsid w:val="0053036B"/>
    <w:rsid w:val="00530DA5"/>
    <w:rsid w:val="00532134"/>
    <w:rsid w:val="00540A09"/>
    <w:rsid w:val="0054496D"/>
    <w:rsid w:val="005600FF"/>
    <w:rsid w:val="00563741"/>
    <w:rsid w:val="00596623"/>
    <w:rsid w:val="005A7D4D"/>
    <w:rsid w:val="005B091D"/>
    <w:rsid w:val="005B55C4"/>
    <w:rsid w:val="005C2B72"/>
    <w:rsid w:val="005C4DAB"/>
    <w:rsid w:val="005C76BD"/>
    <w:rsid w:val="005D0F18"/>
    <w:rsid w:val="005D3CBA"/>
    <w:rsid w:val="005E182B"/>
    <w:rsid w:val="005F4487"/>
    <w:rsid w:val="00600BE3"/>
    <w:rsid w:val="00612E7B"/>
    <w:rsid w:val="006130FF"/>
    <w:rsid w:val="00613958"/>
    <w:rsid w:val="00624ED2"/>
    <w:rsid w:val="00627843"/>
    <w:rsid w:val="00640E1D"/>
    <w:rsid w:val="0064210D"/>
    <w:rsid w:val="006657D0"/>
    <w:rsid w:val="00675DD8"/>
    <w:rsid w:val="006764BC"/>
    <w:rsid w:val="00680FD0"/>
    <w:rsid w:val="00681C42"/>
    <w:rsid w:val="00687E1D"/>
    <w:rsid w:val="00690D16"/>
    <w:rsid w:val="00691D90"/>
    <w:rsid w:val="006A5968"/>
    <w:rsid w:val="006F0ABF"/>
    <w:rsid w:val="006F4F61"/>
    <w:rsid w:val="00716695"/>
    <w:rsid w:val="00720747"/>
    <w:rsid w:val="00724893"/>
    <w:rsid w:val="00726EF4"/>
    <w:rsid w:val="00755D8D"/>
    <w:rsid w:val="00771E48"/>
    <w:rsid w:val="00776204"/>
    <w:rsid w:val="007821E7"/>
    <w:rsid w:val="00790990"/>
    <w:rsid w:val="007B06AD"/>
    <w:rsid w:val="007B1707"/>
    <w:rsid w:val="007B4312"/>
    <w:rsid w:val="007B5C11"/>
    <w:rsid w:val="007C60A7"/>
    <w:rsid w:val="007D432F"/>
    <w:rsid w:val="007F3972"/>
    <w:rsid w:val="007F46F2"/>
    <w:rsid w:val="00800F4F"/>
    <w:rsid w:val="008064A5"/>
    <w:rsid w:val="00824AB5"/>
    <w:rsid w:val="00825BEA"/>
    <w:rsid w:val="00831758"/>
    <w:rsid w:val="00850AA8"/>
    <w:rsid w:val="00885B59"/>
    <w:rsid w:val="008A657A"/>
    <w:rsid w:val="008E7591"/>
    <w:rsid w:val="00902F72"/>
    <w:rsid w:val="009075B9"/>
    <w:rsid w:val="00913672"/>
    <w:rsid w:val="009300C8"/>
    <w:rsid w:val="00933B38"/>
    <w:rsid w:val="00935233"/>
    <w:rsid w:val="00942020"/>
    <w:rsid w:val="00950947"/>
    <w:rsid w:val="00954EE2"/>
    <w:rsid w:val="00980B83"/>
    <w:rsid w:val="009864B7"/>
    <w:rsid w:val="0099134F"/>
    <w:rsid w:val="009B176F"/>
    <w:rsid w:val="009C13C4"/>
    <w:rsid w:val="009D6A33"/>
    <w:rsid w:val="009F204D"/>
    <w:rsid w:val="00A00313"/>
    <w:rsid w:val="00A25C9A"/>
    <w:rsid w:val="00A705F6"/>
    <w:rsid w:val="00A7185D"/>
    <w:rsid w:val="00A74451"/>
    <w:rsid w:val="00A75B3A"/>
    <w:rsid w:val="00A815A8"/>
    <w:rsid w:val="00A90736"/>
    <w:rsid w:val="00A9377A"/>
    <w:rsid w:val="00AB3EBD"/>
    <w:rsid w:val="00AC5558"/>
    <w:rsid w:val="00AC56E4"/>
    <w:rsid w:val="00B110F5"/>
    <w:rsid w:val="00B32DC4"/>
    <w:rsid w:val="00B34E14"/>
    <w:rsid w:val="00B41798"/>
    <w:rsid w:val="00B441C4"/>
    <w:rsid w:val="00B44FFC"/>
    <w:rsid w:val="00B47082"/>
    <w:rsid w:val="00B51EA8"/>
    <w:rsid w:val="00B5644B"/>
    <w:rsid w:val="00B61742"/>
    <w:rsid w:val="00B742D5"/>
    <w:rsid w:val="00B77D9B"/>
    <w:rsid w:val="00B84260"/>
    <w:rsid w:val="00B9000A"/>
    <w:rsid w:val="00BE2F39"/>
    <w:rsid w:val="00BF1715"/>
    <w:rsid w:val="00C00CBE"/>
    <w:rsid w:val="00C00F95"/>
    <w:rsid w:val="00C202AC"/>
    <w:rsid w:val="00C30517"/>
    <w:rsid w:val="00C43933"/>
    <w:rsid w:val="00C45B95"/>
    <w:rsid w:val="00C55316"/>
    <w:rsid w:val="00C739E3"/>
    <w:rsid w:val="00C73A7E"/>
    <w:rsid w:val="00C73B89"/>
    <w:rsid w:val="00CA2B84"/>
    <w:rsid w:val="00CC5365"/>
    <w:rsid w:val="00CC6E00"/>
    <w:rsid w:val="00CE466A"/>
    <w:rsid w:val="00CE4D02"/>
    <w:rsid w:val="00CF56CC"/>
    <w:rsid w:val="00CF6F4A"/>
    <w:rsid w:val="00D05FCC"/>
    <w:rsid w:val="00D1696A"/>
    <w:rsid w:val="00D32FEF"/>
    <w:rsid w:val="00D46751"/>
    <w:rsid w:val="00D563D3"/>
    <w:rsid w:val="00D61588"/>
    <w:rsid w:val="00D63823"/>
    <w:rsid w:val="00D753C9"/>
    <w:rsid w:val="00D918D3"/>
    <w:rsid w:val="00D9380C"/>
    <w:rsid w:val="00D93B1D"/>
    <w:rsid w:val="00DA0542"/>
    <w:rsid w:val="00DA4C4D"/>
    <w:rsid w:val="00DA4FC0"/>
    <w:rsid w:val="00DC2E59"/>
    <w:rsid w:val="00DC7367"/>
    <w:rsid w:val="00DD006F"/>
    <w:rsid w:val="00DD1672"/>
    <w:rsid w:val="00DD5802"/>
    <w:rsid w:val="00DD7341"/>
    <w:rsid w:val="00DE0C10"/>
    <w:rsid w:val="00E013CD"/>
    <w:rsid w:val="00E03798"/>
    <w:rsid w:val="00E2019D"/>
    <w:rsid w:val="00E218F4"/>
    <w:rsid w:val="00E46DD9"/>
    <w:rsid w:val="00E47EF3"/>
    <w:rsid w:val="00E51DA8"/>
    <w:rsid w:val="00E6368D"/>
    <w:rsid w:val="00E71D94"/>
    <w:rsid w:val="00E746F4"/>
    <w:rsid w:val="00E8470B"/>
    <w:rsid w:val="00E96714"/>
    <w:rsid w:val="00EA07D3"/>
    <w:rsid w:val="00EA16FA"/>
    <w:rsid w:val="00EB0227"/>
    <w:rsid w:val="00EB105A"/>
    <w:rsid w:val="00EB4B09"/>
    <w:rsid w:val="00EB7045"/>
    <w:rsid w:val="00ED3521"/>
    <w:rsid w:val="00EE36E7"/>
    <w:rsid w:val="00EE70A4"/>
    <w:rsid w:val="00EF37CA"/>
    <w:rsid w:val="00EF5C69"/>
    <w:rsid w:val="00F11D02"/>
    <w:rsid w:val="00F16917"/>
    <w:rsid w:val="00F237F0"/>
    <w:rsid w:val="00F24D64"/>
    <w:rsid w:val="00F2524A"/>
    <w:rsid w:val="00F32CC0"/>
    <w:rsid w:val="00F573D5"/>
    <w:rsid w:val="00F70ABD"/>
    <w:rsid w:val="00F7158C"/>
    <w:rsid w:val="00F7549D"/>
    <w:rsid w:val="00FA60A5"/>
    <w:rsid w:val="00FB2431"/>
    <w:rsid w:val="00FB5FD9"/>
    <w:rsid w:val="00FC277F"/>
    <w:rsid w:val="00FC2CFB"/>
    <w:rsid w:val="00FE0A59"/>
    <w:rsid w:val="00FF12B5"/>
    <w:rsid w:val="00FF4B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77E46"/>
  <w15:chartTrackingRefBased/>
  <w15:docId w15:val="{7459EB85-637D-4CED-B7FA-792553FE5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F46F2"/>
    <w:pPr>
      <w:keepNext/>
      <w:spacing w:before="240" w:after="60" w:line="240" w:lineRule="auto"/>
      <w:outlineLvl w:val="0"/>
    </w:pPr>
    <w:rPr>
      <w:rFonts w:ascii="Arial" w:eastAsia="Times New Roman" w:hAnsi="Arial" w:cs="Arial"/>
      <w:b/>
      <w:bCs/>
      <w:kern w:val="32"/>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15A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15A8"/>
  </w:style>
  <w:style w:type="paragraph" w:styleId="Piedepgina">
    <w:name w:val="footer"/>
    <w:basedOn w:val="Normal"/>
    <w:link w:val="PiedepginaCar"/>
    <w:uiPriority w:val="99"/>
    <w:unhideWhenUsed/>
    <w:rsid w:val="00A815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15A8"/>
  </w:style>
  <w:style w:type="character" w:styleId="Nmerodelnea">
    <w:name w:val="line number"/>
    <w:basedOn w:val="Fuentedeprrafopredeter"/>
    <w:uiPriority w:val="99"/>
    <w:semiHidden/>
    <w:unhideWhenUsed/>
    <w:rsid w:val="00EA16FA"/>
  </w:style>
  <w:style w:type="table" w:styleId="Tablaconcuadrcula">
    <w:name w:val="Table Grid"/>
    <w:basedOn w:val="Tablanormal"/>
    <w:uiPriority w:val="59"/>
    <w:rsid w:val="00EA16F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F46F2"/>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7F46F2"/>
    <w:rPr>
      <w:rFonts w:ascii="Arial" w:eastAsia="Times New Roman" w:hAnsi="Arial" w:cs="Arial"/>
      <w:b/>
      <w:bCs/>
      <w:kern w:val="32"/>
      <w:sz w:val="32"/>
      <w:szCs w:val="32"/>
      <w:lang w:val="es-ES" w:eastAsia="es-ES"/>
    </w:rPr>
  </w:style>
  <w:style w:type="paragraph" w:styleId="NormalWeb">
    <w:name w:val="Normal (Web)"/>
    <w:basedOn w:val="Normal"/>
    <w:uiPriority w:val="99"/>
    <w:unhideWhenUsed/>
    <w:rsid w:val="007B170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aliases w:val="Car9 Car"/>
    <w:basedOn w:val="Normal"/>
    <w:link w:val="TextonotapieCar"/>
    <w:uiPriority w:val="99"/>
    <w:rsid w:val="00EB0227"/>
    <w:pPr>
      <w:spacing w:after="0" w:line="240" w:lineRule="auto"/>
    </w:pPr>
    <w:rPr>
      <w:rFonts w:ascii="Arial" w:eastAsia="Times New Roman" w:hAnsi="Arial" w:cs="Arial"/>
      <w:sz w:val="20"/>
      <w:szCs w:val="20"/>
      <w:lang w:val="es-ES_tradnl" w:eastAsia="es-ES_tradnl"/>
    </w:rPr>
  </w:style>
  <w:style w:type="character" w:customStyle="1" w:styleId="TextonotapieCar">
    <w:name w:val="Texto nota pie Car"/>
    <w:aliases w:val="Car9 Car Car"/>
    <w:basedOn w:val="Fuentedeprrafopredeter"/>
    <w:link w:val="Textonotapie"/>
    <w:uiPriority w:val="99"/>
    <w:rsid w:val="00EB0227"/>
    <w:rPr>
      <w:rFonts w:ascii="Arial" w:eastAsia="Times New Roman" w:hAnsi="Arial" w:cs="Arial"/>
      <w:sz w:val="20"/>
      <w:szCs w:val="20"/>
      <w:lang w:val="es-ES_tradnl" w:eastAsia="es-ES_tradnl"/>
    </w:rPr>
  </w:style>
  <w:style w:type="character" w:styleId="Refdenotaalpie">
    <w:name w:val="footnote reference"/>
    <w:uiPriority w:val="99"/>
    <w:rsid w:val="00EB0227"/>
    <w:rPr>
      <w:vertAlign w:val="superscript"/>
    </w:rPr>
  </w:style>
  <w:style w:type="table" w:customStyle="1" w:styleId="Tablaconcuadrcula3">
    <w:name w:val="Tabla con cuadrícula3"/>
    <w:basedOn w:val="Tablanormal"/>
    <w:next w:val="Tablaconcuadrcula"/>
    <w:uiPriority w:val="59"/>
    <w:rsid w:val="005253F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Finaldelformulario">
    <w:name w:val="HTML Bottom of Form"/>
    <w:basedOn w:val="Normal"/>
    <w:next w:val="Normal"/>
    <w:link w:val="z-FinaldelformularioCar"/>
    <w:hidden/>
    <w:rsid w:val="00FB5FD9"/>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rsid w:val="00FB5FD9"/>
    <w:rPr>
      <w:rFonts w:ascii="Arial" w:eastAsia="Times New Roman" w:hAnsi="Arial" w:cs="Arial"/>
      <w:vanish/>
      <w:sz w:val="16"/>
      <w:szCs w:val="16"/>
      <w:lang w:val="es-ES" w:eastAsia="es-ES"/>
    </w:rPr>
  </w:style>
  <w:style w:type="character" w:styleId="Hipervnculo">
    <w:name w:val="Hyperlink"/>
    <w:basedOn w:val="Fuentedeprrafopredeter"/>
    <w:uiPriority w:val="99"/>
    <w:unhideWhenUsed/>
    <w:rsid w:val="00680FD0"/>
    <w:rPr>
      <w:color w:val="0000FF" w:themeColor="hyperlink"/>
      <w:u w:val="single"/>
    </w:rPr>
  </w:style>
  <w:style w:type="paragraph" w:styleId="Textodeglobo">
    <w:name w:val="Balloon Text"/>
    <w:basedOn w:val="Normal"/>
    <w:link w:val="TextodegloboCar"/>
    <w:uiPriority w:val="99"/>
    <w:semiHidden/>
    <w:unhideWhenUsed/>
    <w:rsid w:val="00DC2E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2E59"/>
    <w:rPr>
      <w:rFonts w:ascii="Segoe UI" w:hAnsi="Segoe UI" w:cs="Segoe UI"/>
      <w:sz w:val="18"/>
      <w:szCs w:val="18"/>
    </w:rPr>
  </w:style>
  <w:style w:type="paragraph" w:styleId="Textonotaalfinal">
    <w:name w:val="endnote text"/>
    <w:basedOn w:val="Normal"/>
    <w:link w:val="TextonotaalfinalCar"/>
    <w:uiPriority w:val="99"/>
    <w:semiHidden/>
    <w:unhideWhenUsed/>
    <w:rsid w:val="0027563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7563C"/>
    <w:rPr>
      <w:sz w:val="20"/>
      <w:szCs w:val="20"/>
    </w:rPr>
  </w:style>
  <w:style w:type="character" w:styleId="Refdenotaalfinal">
    <w:name w:val="endnote reference"/>
    <w:basedOn w:val="Fuentedeprrafopredeter"/>
    <w:uiPriority w:val="99"/>
    <w:semiHidden/>
    <w:unhideWhenUsed/>
    <w:rsid w:val="0027563C"/>
    <w:rPr>
      <w:vertAlign w:val="superscript"/>
    </w:rPr>
  </w:style>
  <w:style w:type="character" w:styleId="Refdecomentario">
    <w:name w:val="annotation reference"/>
    <w:basedOn w:val="Fuentedeprrafopredeter"/>
    <w:uiPriority w:val="99"/>
    <w:semiHidden/>
    <w:unhideWhenUsed/>
    <w:rsid w:val="003451BA"/>
    <w:rPr>
      <w:sz w:val="16"/>
      <w:szCs w:val="16"/>
    </w:rPr>
  </w:style>
  <w:style w:type="paragraph" w:styleId="Textocomentario">
    <w:name w:val="annotation text"/>
    <w:basedOn w:val="Normal"/>
    <w:link w:val="TextocomentarioCar"/>
    <w:uiPriority w:val="99"/>
    <w:semiHidden/>
    <w:unhideWhenUsed/>
    <w:rsid w:val="003451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51BA"/>
    <w:rPr>
      <w:sz w:val="20"/>
      <w:szCs w:val="20"/>
    </w:rPr>
  </w:style>
  <w:style w:type="paragraph" w:styleId="Asuntodelcomentario">
    <w:name w:val="annotation subject"/>
    <w:basedOn w:val="Textocomentario"/>
    <w:next w:val="Textocomentario"/>
    <w:link w:val="AsuntodelcomentarioCar"/>
    <w:uiPriority w:val="99"/>
    <w:semiHidden/>
    <w:unhideWhenUsed/>
    <w:rsid w:val="003451BA"/>
    <w:rPr>
      <w:b/>
      <w:bCs/>
    </w:rPr>
  </w:style>
  <w:style w:type="character" w:customStyle="1" w:styleId="AsuntodelcomentarioCar">
    <w:name w:val="Asunto del comentario Car"/>
    <w:basedOn w:val="TextocomentarioCar"/>
    <w:link w:val="Asuntodelcomentario"/>
    <w:uiPriority w:val="99"/>
    <w:semiHidden/>
    <w:rsid w:val="003451BA"/>
    <w:rPr>
      <w:b/>
      <w:bCs/>
      <w:sz w:val="20"/>
      <w:szCs w:val="20"/>
    </w:rPr>
  </w:style>
  <w:style w:type="paragraph" w:styleId="TtulodeTDC">
    <w:name w:val="TOC Heading"/>
    <w:basedOn w:val="Ttulo1"/>
    <w:next w:val="Normal"/>
    <w:uiPriority w:val="39"/>
    <w:unhideWhenUsed/>
    <w:qFormat/>
    <w:rsid w:val="00F70ABD"/>
    <w:pPr>
      <w:keepLines/>
      <w:spacing w:after="0" w:line="259" w:lineRule="auto"/>
      <w:outlineLvl w:val="9"/>
    </w:pPr>
    <w:rPr>
      <w:rFonts w:asciiTheme="majorHAnsi" w:eastAsiaTheme="majorEastAsia" w:hAnsiTheme="majorHAnsi" w:cstheme="majorBidi"/>
      <w:b w:val="0"/>
      <w:bCs w:val="0"/>
      <w:color w:val="365F91" w:themeColor="accent1" w:themeShade="BF"/>
      <w:kern w:val="0"/>
      <w:lang w:val="es-MX" w:eastAsia="es-MX"/>
    </w:rPr>
  </w:style>
  <w:style w:type="paragraph" w:styleId="TDC1">
    <w:name w:val="toc 1"/>
    <w:basedOn w:val="Normal"/>
    <w:next w:val="Normal"/>
    <w:autoRedefine/>
    <w:uiPriority w:val="39"/>
    <w:unhideWhenUsed/>
    <w:rsid w:val="00F70AB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46538">
      <w:bodyDiv w:val="1"/>
      <w:marLeft w:val="0"/>
      <w:marRight w:val="0"/>
      <w:marTop w:val="0"/>
      <w:marBottom w:val="0"/>
      <w:divBdr>
        <w:top w:val="none" w:sz="0" w:space="0" w:color="auto"/>
        <w:left w:val="none" w:sz="0" w:space="0" w:color="auto"/>
        <w:bottom w:val="none" w:sz="0" w:space="0" w:color="auto"/>
        <w:right w:val="none" w:sz="0" w:space="0" w:color="auto"/>
      </w:divBdr>
    </w:div>
    <w:div w:id="396442974">
      <w:bodyDiv w:val="1"/>
      <w:marLeft w:val="0"/>
      <w:marRight w:val="0"/>
      <w:marTop w:val="0"/>
      <w:marBottom w:val="0"/>
      <w:divBdr>
        <w:top w:val="none" w:sz="0" w:space="0" w:color="auto"/>
        <w:left w:val="none" w:sz="0" w:space="0" w:color="auto"/>
        <w:bottom w:val="none" w:sz="0" w:space="0" w:color="auto"/>
        <w:right w:val="none" w:sz="0" w:space="0" w:color="auto"/>
      </w:divBdr>
    </w:div>
    <w:div w:id="470707141">
      <w:bodyDiv w:val="1"/>
      <w:marLeft w:val="0"/>
      <w:marRight w:val="0"/>
      <w:marTop w:val="0"/>
      <w:marBottom w:val="0"/>
      <w:divBdr>
        <w:top w:val="none" w:sz="0" w:space="0" w:color="auto"/>
        <w:left w:val="none" w:sz="0" w:space="0" w:color="auto"/>
        <w:bottom w:val="none" w:sz="0" w:space="0" w:color="auto"/>
        <w:right w:val="none" w:sz="0" w:space="0" w:color="auto"/>
      </w:divBdr>
    </w:div>
    <w:div w:id="504051975">
      <w:bodyDiv w:val="1"/>
      <w:marLeft w:val="0"/>
      <w:marRight w:val="0"/>
      <w:marTop w:val="0"/>
      <w:marBottom w:val="0"/>
      <w:divBdr>
        <w:top w:val="none" w:sz="0" w:space="0" w:color="auto"/>
        <w:left w:val="none" w:sz="0" w:space="0" w:color="auto"/>
        <w:bottom w:val="none" w:sz="0" w:space="0" w:color="auto"/>
        <w:right w:val="none" w:sz="0" w:space="0" w:color="auto"/>
      </w:divBdr>
    </w:div>
    <w:div w:id="549613640">
      <w:bodyDiv w:val="1"/>
      <w:marLeft w:val="0"/>
      <w:marRight w:val="0"/>
      <w:marTop w:val="0"/>
      <w:marBottom w:val="0"/>
      <w:divBdr>
        <w:top w:val="none" w:sz="0" w:space="0" w:color="auto"/>
        <w:left w:val="none" w:sz="0" w:space="0" w:color="auto"/>
        <w:bottom w:val="none" w:sz="0" w:space="0" w:color="auto"/>
        <w:right w:val="none" w:sz="0" w:space="0" w:color="auto"/>
      </w:divBdr>
    </w:div>
    <w:div w:id="841434935">
      <w:bodyDiv w:val="1"/>
      <w:marLeft w:val="0"/>
      <w:marRight w:val="0"/>
      <w:marTop w:val="0"/>
      <w:marBottom w:val="0"/>
      <w:divBdr>
        <w:top w:val="none" w:sz="0" w:space="0" w:color="auto"/>
        <w:left w:val="none" w:sz="0" w:space="0" w:color="auto"/>
        <w:bottom w:val="none" w:sz="0" w:space="0" w:color="auto"/>
        <w:right w:val="none" w:sz="0" w:space="0" w:color="auto"/>
      </w:divBdr>
    </w:div>
    <w:div w:id="860125434">
      <w:bodyDiv w:val="1"/>
      <w:marLeft w:val="0"/>
      <w:marRight w:val="0"/>
      <w:marTop w:val="0"/>
      <w:marBottom w:val="0"/>
      <w:divBdr>
        <w:top w:val="none" w:sz="0" w:space="0" w:color="auto"/>
        <w:left w:val="none" w:sz="0" w:space="0" w:color="auto"/>
        <w:bottom w:val="none" w:sz="0" w:space="0" w:color="auto"/>
        <w:right w:val="none" w:sz="0" w:space="0" w:color="auto"/>
      </w:divBdr>
    </w:div>
    <w:div w:id="917515861">
      <w:bodyDiv w:val="1"/>
      <w:marLeft w:val="0"/>
      <w:marRight w:val="0"/>
      <w:marTop w:val="0"/>
      <w:marBottom w:val="0"/>
      <w:divBdr>
        <w:top w:val="none" w:sz="0" w:space="0" w:color="auto"/>
        <w:left w:val="none" w:sz="0" w:space="0" w:color="auto"/>
        <w:bottom w:val="none" w:sz="0" w:space="0" w:color="auto"/>
        <w:right w:val="none" w:sz="0" w:space="0" w:color="auto"/>
      </w:divBdr>
    </w:div>
    <w:div w:id="932976342">
      <w:bodyDiv w:val="1"/>
      <w:marLeft w:val="0"/>
      <w:marRight w:val="0"/>
      <w:marTop w:val="0"/>
      <w:marBottom w:val="0"/>
      <w:divBdr>
        <w:top w:val="none" w:sz="0" w:space="0" w:color="auto"/>
        <w:left w:val="none" w:sz="0" w:space="0" w:color="auto"/>
        <w:bottom w:val="none" w:sz="0" w:space="0" w:color="auto"/>
        <w:right w:val="none" w:sz="0" w:space="0" w:color="auto"/>
      </w:divBdr>
    </w:div>
    <w:div w:id="1145584792">
      <w:bodyDiv w:val="1"/>
      <w:marLeft w:val="0"/>
      <w:marRight w:val="0"/>
      <w:marTop w:val="0"/>
      <w:marBottom w:val="0"/>
      <w:divBdr>
        <w:top w:val="none" w:sz="0" w:space="0" w:color="auto"/>
        <w:left w:val="none" w:sz="0" w:space="0" w:color="auto"/>
        <w:bottom w:val="none" w:sz="0" w:space="0" w:color="auto"/>
        <w:right w:val="none" w:sz="0" w:space="0" w:color="auto"/>
      </w:divBdr>
    </w:div>
    <w:div w:id="1213269345">
      <w:bodyDiv w:val="1"/>
      <w:marLeft w:val="0"/>
      <w:marRight w:val="0"/>
      <w:marTop w:val="0"/>
      <w:marBottom w:val="0"/>
      <w:divBdr>
        <w:top w:val="none" w:sz="0" w:space="0" w:color="auto"/>
        <w:left w:val="none" w:sz="0" w:space="0" w:color="auto"/>
        <w:bottom w:val="none" w:sz="0" w:space="0" w:color="auto"/>
        <w:right w:val="none" w:sz="0" w:space="0" w:color="auto"/>
      </w:divBdr>
    </w:div>
    <w:div w:id="1273131075">
      <w:bodyDiv w:val="1"/>
      <w:marLeft w:val="0"/>
      <w:marRight w:val="0"/>
      <w:marTop w:val="0"/>
      <w:marBottom w:val="0"/>
      <w:divBdr>
        <w:top w:val="none" w:sz="0" w:space="0" w:color="auto"/>
        <w:left w:val="none" w:sz="0" w:space="0" w:color="auto"/>
        <w:bottom w:val="none" w:sz="0" w:space="0" w:color="auto"/>
        <w:right w:val="none" w:sz="0" w:space="0" w:color="auto"/>
      </w:divBdr>
    </w:div>
    <w:div w:id="1497959862">
      <w:bodyDiv w:val="1"/>
      <w:marLeft w:val="0"/>
      <w:marRight w:val="0"/>
      <w:marTop w:val="0"/>
      <w:marBottom w:val="0"/>
      <w:divBdr>
        <w:top w:val="none" w:sz="0" w:space="0" w:color="auto"/>
        <w:left w:val="none" w:sz="0" w:space="0" w:color="auto"/>
        <w:bottom w:val="none" w:sz="0" w:space="0" w:color="auto"/>
        <w:right w:val="none" w:sz="0" w:space="0" w:color="auto"/>
      </w:divBdr>
    </w:div>
    <w:div w:id="1764304588">
      <w:bodyDiv w:val="1"/>
      <w:marLeft w:val="0"/>
      <w:marRight w:val="0"/>
      <w:marTop w:val="0"/>
      <w:marBottom w:val="0"/>
      <w:divBdr>
        <w:top w:val="none" w:sz="0" w:space="0" w:color="auto"/>
        <w:left w:val="none" w:sz="0" w:space="0" w:color="auto"/>
        <w:bottom w:val="none" w:sz="0" w:space="0" w:color="auto"/>
        <w:right w:val="none" w:sz="0" w:space="0" w:color="auto"/>
      </w:divBdr>
    </w:div>
    <w:div w:id="1834369644">
      <w:bodyDiv w:val="1"/>
      <w:marLeft w:val="0"/>
      <w:marRight w:val="0"/>
      <w:marTop w:val="0"/>
      <w:marBottom w:val="0"/>
      <w:divBdr>
        <w:top w:val="none" w:sz="0" w:space="0" w:color="auto"/>
        <w:left w:val="none" w:sz="0" w:space="0" w:color="auto"/>
        <w:bottom w:val="none" w:sz="0" w:space="0" w:color="auto"/>
        <w:right w:val="none" w:sz="0" w:space="0" w:color="auto"/>
      </w:divBdr>
    </w:div>
    <w:div w:id="1988120070">
      <w:bodyDiv w:val="1"/>
      <w:marLeft w:val="0"/>
      <w:marRight w:val="0"/>
      <w:marTop w:val="0"/>
      <w:marBottom w:val="0"/>
      <w:divBdr>
        <w:top w:val="none" w:sz="0" w:space="0" w:color="auto"/>
        <w:left w:val="none" w:sz="0" w:space="0" w:color="auto"/>
        <w:bottom w:val="none" w:sz="0" w:space="0" w:color="auto"/>
        <w:right w:val="none" w:sz="0" w:space="0" w:color="auto"/>
      </w:divBdr>
    </w:div>
    <w:div w:id="2124376637">
      <w:bodyDiv w:val="1"/>
      <w:marLeft w:val="0"/>
      <w:marRight w:val="0"/>
      <w:marTop w:val="0"/>
      <w:marBottom w:val="0"/>
      <w:divBdr>
        <w:top w:val="none" w:sz="0" w:space="0" w:color="auto"/>
        <w:left w:val="none" w:sz="0" w:space="0" w:color="auto"/>
        <w:bottom w:val="none" w:sz="0" w:space="0" w:color="auto"/>
        <w:right w:val="none" w:sz="0" w:space="0" w:color="auto"/>
      </w:divBdr>
    </w:div>
    <w:div w:id="213281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1.jpeg"/><Relationship Id="rId26" Type="http://schemas.openxmlformats.org/officeDocument/2006/relationships/image" Target="media/image28.png"/><Relationship Id="rId39" Type="http://schemas.openxmlformats.org/officeDocument/2006/relationships/image" Target="media/image39.emf"/><Relationship Id="rId21" Type="http://schemas.openxmlformats.org/officeDocument/2006/relationships/image" Target="media/image24.png"/><Relationship Id="rId34" Type="http://schemas.openxmlformats.org/officeDocument/2006/relationships/image" Target="media/image35.png"/><Relationship Id="rId42" Type="http://schemas.openxmlformats.org/officeDocument/2006/relationships/image" Target="media/image40.png"/><Relationship Id="rId47" Type="http://schemas.openxmlformats.org/officeDocument/2006/relationships/chart" Target="charts/chart6.xml"/><Relationship Id="rId50" Type="http://schemas.openxmlformats.org/officeDocument/2006/relationships/image" Target="media/image45.png"/><Relationship Id="rId55" Type="http://schemas.openxmlformats.org/officeDocument/2006/relationships/image" Target="media/image49.png"/><Relationship Id="rId63" Type="http://schemas.openxmlformats.org/officeDocument/2006/relationships/chart" Target="charts/chart11.xml"/><Relationship Id="rId68" Type="http://schemas.openxmlformats.org/officeDocument/2006/relationships/image" Target="media/image58.jpeg"/><Relationship Id="rId76" Type="http://schemas.openxmlformats.org/officeDocument/2006/relationships/image" Target="media/image66.png"/><Relationship Id="rId84" Type="http://schemas.openxmlformats.org/officeDocument/2006/relationships/chart" Target="charts/chart14.xml"/><Relationship Id="rId89" Type="http://schemas.openxmlformats.org/officeDocument/2006/relationships/hyperlink" Target="http://www.shcp.gob.mx" TargetMode="External"/><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png"/><Relationship Id="rId29" Type="http://schemas.openxmlformats.org/officeDocument/2006/relationships/image" Target="media/image31.png"/><Relationship Id="rId11" Type="http://schemas.openxmlformats.org/officeDocument/2006/relationships/image" Target="media/image16.jpeg"/><Relationship Id="rId24" Type="http://schemas.openxmlformats.org/officeDocument/2006/relationships/image" Target="media/image27.gif"/><Relationship Id="rId32" Type="http://schemas.openxmlformats.org/officeDocument/2006/relationships/image" Target="media/image34.png"/><Relationship Id="rId37" Type="http://schemas.openxmlformats.org/officeDocument/2006/relationships/image" Target="media/image37.jpeg"/><Relationship Id="rId40" Type="http://schemas.openxmlformats.org/officeDocument/2006/relationships/chart" Target="charts/chart3.xml"/><Relationship Id="rId45" Type="http://schemas.openxmlformats.org/officeDocument/2006/relationships/image" Target="media/image43.png"/><Relationship Id="rId53" Type="http://schemas.openxmlformats.org/officeDocument/2006/relationships/chart" Target="charts/chart8.xml"/><Relationship Id="rId58" Type="http://schemas.openxmlformats.org/officeDocument/2006/relationships/chart" Target="charts/chart9.xml"/><Relationship Id="rId66" Type="http://schemas.openxmlformats.org/officeDocument/2006/relationships/image" Target="media/image57.png"/><Relationship Id="rId74" Type="http://schemas.openxmlformats.org/officeDocument/2006/relationships/image" Target="media/image64.png"/><Relationship Id="rId79" Type="http://schemas.openxmlformats.org/officeDocument/2006/relationships/image" Target="media/image68.emf"/><Relationship Id="rId87" Type="http://schemas.openxmlformats.org/officeDocument/2006/relationships/hyperlink" Target="http://www.hearcolors.com.mx)/" TargetMode="Externa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chart" Target="charts/chart13.xml"/><Relationship Id="rId90" Type="http://schemas.openxmlformats.org/officeDocument/2006/relationships/image" Target="media/image72.jpeg"/><Relationship Id="rId19" Type="http://schemas.openxmlformats.org/officeDocument/2006/relationships/image" Target="media/image22.emf"/><Relationship Id="rId14" Type="http://schemas.openxmlformats.org/officeDocument/2006/relationships/footer" Target="footer2.xml"/><Relationship Id="rId22" Type="http://schemas.openxmlformats.org/officeDocument/2006/relationships/image" Target="media/image25.png"/><Relationship Id="rId27" Type="http://schemas.openxmlformats.org/officeDocument/2006/relationships/image" Target="media/image29.png"/><Relationship Id="rId30" Type="http://schemas.openxmlformats.org/officeDocument/2006/relationships/image" Target="media/image32.png"/><Relationship Id="rId35" Type="http://schemas.openxmlformats.org/officeDocument/2006/relationships/chart" Target="charts/chart2.xml"/><Relationship Id="rId43" Type="http://schemas.openxmlformats.org/officeDocument/2006/relationships/image" Target="media/image41.jpeg"/><Relationship Id="rId48" Type="http://schemas.openxmlformats.org/officeDocument/2006/relationships/image" Target="media/image44.png"/><Relationship Id="rId56" Type="http://schemas.openxmlformats.org/officeDocument/2006/relationships/image" Target="media/image50.jpeg"/><Relationship Id="rId64" Type="http://schemas.openxmlformats.org/officeDocument/2006/relationships/image" Target="media/image55.emf"/><Relationship Id="rId69" Type="http://schemas.openxmlformats.org/officeDocument/2006/relationships/image" Target="media/image59.png"/><Relationship Id="rId77" Type="http://schemas.openxmlformats.org/officeDocument/2006/relationships/image" Target="media/image67.emf"/><Relationship Id="rId8" Type="http://schemas.openxmlformats.org/officeDocument/2006/relationships/footer" Target="footer1.xml"/><Relationship Id="rId51" Type="http://schemas.openxmlformats.org/officeDocument/2006/relationships/image" Target="media/image46.jpg"/><Relationship Id="rId72" Type="http://schemas.openxmlformats.org/officeDocument/2006/relationships/image" Target="media/image62.png"/><Relationship Id="rId80" Type="http://schemas.openxmlformats.org/officeDocument/2006/relationships/hyperlink" Target="http://transparenciafiscal.edomex.gob.mx/sites/transparenciafiscal.edomex.gob.mx/files/files/pdf/Resumen_ITDIF_2015.pdf" TargetMode="External"/><Relationship Id="rId85" Type="http://schemas.openxmlformats.org/officeDocument/2006/relationships/hyperlink" Target="http://www.tm.org.mx/wp-content/uploads/2013/05/01-INCBG-2010-Informe-Ejecutivo1.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footer" Target="footer3.xml"/><Relationship Id="rId33" Type="http://schemas.openxmlformats.org/officeDocument/2006/relationships/chart" Target="charts/chart1.xml"/><Relationship Id="rId38" Type="http://schemas.openxmlformats.org/officeDocument/2006/relationships/image" Target="media/image38.png"/><Relationship Id="rId46" Type="http://schemas.openxmlformats.org/officeDocument/2006/relationships/chart" Target="charts/chart5.xml"/><Relationship Id="rId59" Type="http://schemas.openxmlformats.org/officeDocument/2006/relationships/chart" Target="charts/chart10.xml"/><Relationship Id="rId67" Type="http://schemas.openxmlformats.org/officeDocument/2006/relationships/chart" Target="charts/chart12.xml"/><Relationship Id="rId20" Type="http://schemas.openxmlformats.org/officeDocument/2006/relationships/image" Target="media/image23.png"/><Relationship Id="rId41" Type="http://schemas.openxmlformats.org/officeDocument/2006/relationships/chart" Target="charts/chart4.xml"/><Relationship Id="rId54" Type="http://schemas.openxmlformats.org/officeDocument/2006/relationships/image" Target="media/image48.jpeg"/><Relationship Id="rId62" Type="http://schemas.openxmlformats.org/officeDocument/2006/relationships/image" Target="media/image54.png"/><Relationship Id="rId70" Type="http://schemas.openxmlformats.org/officeDocument/2006/relationships/image" Target="media/image60.emf"/><Relationship Id="rId75" Type="http://schemas.openxmlformats.org/officeDocument/2006/relationships/image" Target="media/image65.jpeg"/><Relationship Id="rId83" Type="http://schemas.openxmlformats.org/officeDocument/2006/relationships/hyperlink" Target="http://www.metricadetransparencia.cide.edu)/" TargetMode="External"/><Relationship Id="rId88" Type="http://schemas.openxmlformats.org/officeDocument/2006/relationships/image" Target="media/image71.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9.png"/><Relationship Id="rId23" Type="http://schemas.openxmlformats.org/officeDocument/2006/relationships/image" Target="media/image26.png"/><Relationship Id="rId28" Type="http://schemas.openxmlformats.org/officeDocument/2006/relationships/image" Target="media/image30.jpeg"/><Relationship Id="rId36" Type="http://schemas.openxmlformats.org/officeDocument/2006/relationships/image" Target="media/image36.emf"/><Relationship Id="rId49" Type="http://schemas.openxmlformats.org/officeDocument/2006/relationships/chart" Target="charts/chart7.xml"/><Relationship Id="rId57" Type="http://schemas.openxmlformats.org/officeDocument/2006/relationships/image" Target="media/image51.jpeg"/><Relationship Id="rId10" Type="http://schemas.openxmlformats.org/officeDocument/2006/relationships/image" Target="media/image15.jpeg"/><Relationship Id="rId31" Type="http://schemas.openxmlformats.org/officeDocument/2006/relationships/image" Target="media/image33.jpeg"/><Relationship Id="rId44" Type="http://schemas.openxmlformats.org/officeDocument/2006/relationships/image" Target="media/image42.png"/><Relationship Id="rId52" Type="http://schemas.openxmlformats.org/officeDocument/2006/relationships/image" Target="media/image47.png"/><Relationship Id="rId60" Type="http://schemas.openxmlformats.org/officeDocument/2006/relationships/image" Target="media/image52.jpeg"/><Relationship Id="rId65" Type="http://schemas.openxmlformats.org/officeDocument/2006/relationships/image" Target="media/image56.png"/><Relationship Id="rId73" Type="http://schemas.openxmlformats.org/officeDocument/2006/relationships/image" Target="media/image63.png"/><Relationship Id="rId78" Type="http://schemas.openxmlformats.org/officeDocument/2006/relationships/hyperlink" Target="http://transparenciafiscal.edomex.gob.mx/sites/transparenciafiscal.edomex.gob.mx/files/files/pdf/Resumen_ITDIF_2015.pdf" TargetMode="External"/><Relationship Id="rId81" Type="http://schemas.openxmlformats.org/officeDocument/2006/relationships/image" Target="media/image69.png"/><Relationship Id="rId86"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8.jpeg"/></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oleObject" Target="file:///C:\Zoca%202\Michoacan\PLADIEM\FINAL%20PLADIEM\CPLADE.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HVillanueva\Desktop\Plan%202015-2021\4%20Innovaci&#243;n,%20Productividad%20y%20Competitividad\Doing%20business.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G:\GRAFICAS%20PRIORIDAD%205-1.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1" Type="http://schemas.openxmlformats.org/officeDocument/2006/relationships/oleObject" Target="file:///G:\GRAFICAS%20PRIORIDAD%205-1.xlsx" TargetMode="Externa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Documents%20and%20Settings\Administrador\Escritorio\temporal\PLADIEM%20SILVANO%202015%202021\graficas\metrica.xlsx" TargetMode="External"/><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oleObject" Target="file:///C:\Documents%20and%20Settings\Administrador\Escritorio\temporal\PLADIEM%20SILVANO%202015%202021\graficas\grafica%20Indice%20Nal%20de%20Corrupcion%20y%20Buen%20Gobierno%202010.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1" Type="http://schemas.openxmlformats.org/officeDocument/2006/relationships/oleObject" Target="file:///C:\Zoca%202\Michoacan\PLADIEM\FINAL%20PLADIEM\CPLADE.xlsx" TargetMode="Externa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DPPC\Desktop\Graficas%20Pladiem\Prioridad%203\Percepcion%20localidad%20o%20colonia.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Zoca%202\Michoacan\PLADIEM\FINAL%20PLADIEM\CPLADE.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DGP\Downloads\PIBE%20Y%20PIB.xls"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Patricia\PLADIEM\FINAL%20PLADIEM\Graficas%20CGAP.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2" Type="http://schemas.openxmlformats.org/officeDocument/2006/relationships/oleObject" Target="file:///C:\Zoca%202\Michoacan\PLADIEM\FINAL%20PLADIEM\Graficas.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HVillanueva\Desktop\Plan%202015-2021\4%20Innovaci&#243;n,%20Productividad%20y%20Competitividad\Innovacion%20de%20los%20sectores%20(Competitividad).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'[CPLADE.xlsx]Grafica 2.1'!$A$2</c:f>
              <c:strCache>
                <c:ptCount val="1"/>
                <c:pt idx="0">
                  <c:v>Michoacan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'[CPLADE.xlsx]Grafica 2.1'!$B$1:$G$1</c:f>
              <c:numCache>
                <c:formatCode>General</c:formatCode>
                <c:ptCount val="6"/>
                <c:pt idx="0">
                  <c:v>2010</c:v>
                </c:pt>
                <c:pt idx="1">
                  <c:v>2011</c:v>
                </c:pt>
                <c:pt idx="2">
                  <c:v>2012</c:v>
                </c:pt>
                <c:pt idx="3">
                  <c:v>2013</c:v>
                </c:pt>
                <c:pt idx="4">
                  <c:v>2014</c:v>
                </c:pt>
                <c:pt idx="5">
                  <c:v>2015</c:v>
                </c:pt>
              </c:numCache>
            </c:numRef>
          </c:cat>
          <c:val>
            <c:numRef>
              <c:f>'[CPLADE.xlsx]Grafica 2.1'!$B$2:$G$2</c:f>
              <c:numCache>
                <c:formatCode>General</c:formatCode>
                <c:ptCount val="6"/>
                <c:pt idx="0">
                  <c:v>761</c:v>
                </c:pt>
                <c:pt idx="1">
                  <c:v>757</c:v>
                </c:pt>
                <c:pt idx="2">
                  <c:v>738</c:v>
                </c:pt>
                <c:pt idx="3">
                  <c:v>735</c:v>
                </c:pt>
                <c:pt idx="4">
                  <c:v>775</c:v>
                </c:pt>
                <c:pt idx="5">
                  <c:v>674</c:v>
                </c:pt>
              </c:numCache>
            </c:numRef>
          </c:val>
          <c:extLst xmlns:c16r2="http://schemas.microsoft.com/office/drawing/2015/06/chart">
            <c:ext xmlns:c16="http://schemas.microsoft.com/office/drawing/2014/chart" uri="{C3380CC4-5D6E-409C-BE32-E72D297353CC}">
              <c16:uniqueId val="{00000000-A0CF-4B08-8174-158A6B9955A0}"/>
            </c:ext>
          </c:extLst>
        </c:ser>
        <c:ser>
          <c:idx val="1"/>
          <c:order val="1"/>
          <c:tx>
            <c:strRef>
              <c:f>'[CPLADE.xlsx]Grafica 2.1'!$A$3</c:f>
              <c:strCache>
                <c:ptCount val="1"/>
                <c:pt idx="0">
                  <c:v>Nacional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'[CPLADE.xlsx]Grafica 2.1'!$B$1:$G$1</c:f>
              <c:numCache>
                <c:formatCode>General</c:formatCode>
                <c:ptCount val="6"/>
                <c:pt idx="0">
                  <c:v>2010</c:v>
                </c:pt>
                <c:pt idx="1">
                  <c:v>2011</c:v>
                </c:pt>
                <c:pt idx="2">
                  <c:v>2012</c:v>
                </c:pt>
                <c:pt idx="3">
                  <c:v>2013</c:v>
                </c:pt>
                <c:pt idx="4">
                  <c:v>2014</c:v>
                </c:pt>
                <c:pt idx="5">
                  <c:v>2015</c:v>
                </c:pt>
              </c:numCache>
            </c:numRef>
          </c:cat>
          <c:val>
            <c:numRef>
              <c:f>'[CPLADE.xlsx]Grafica 2.1'!$B$3:$G$3</c:f>
              <c:numCache>
                <c:formatCode>#,##0</c:formatCode>
                <c:ptCount val="6"/>
                <c:pt idx="0">
                  <c:v>1539</c:v>
                </c:pt>
                <c:pt idx="1">
                  <c:v>1529</c:v>
                </c:pt>
                <c:pt idx="2">
                  <c:v>1501</c:v>
                </c:pt>
                <c:pt idx="3">
                  <c:v>1461</c:v>
                </c:pt>
                <c:pt idx="4">
                  <c:v>1376</c:v>
                </c:pt>
                <c:pt idx="5">
                  <c:v>1325</c:v>
                </c:pt>
              </c:numCache>
            </c:numRef>
          </c:val>
          <c:extLst xmlns:c16r2="http://schemas.microsoft.com/office/drawing/2015/06/chart">
            <c:ext xmlns:c16="http://schemas.microsoft.com/office/drawing/2014/chart" uri="{C3380CC4-5D6E-409C-BE32-E72D297353CC}">
              <c16:uniqueId val="{00000001-A0CF-4B08-8174-158A6B9955A0}"/>
            </c:ext>
          </c:extLst>
        </c:ser>
        <c:dLbls>
          <c:dLblPos val="outEnd"/>
          <c:showLegendKey val="0"/>
          <c:showVal val="1"/>
          <c:showCatName val="0"/>
          <c:showSerName val="0"/>
          <c:showPercent val="0"/>
          <c:showBubbleSize val="0"/>
        </c:dLbls>
        <c:gapWidth val="219"/>
        <c:overlap val="-27"/>
        <c:axId val="664606824"/>
        <c:axId val="664606040"/>
      </c:barChart>
      <c:catAx>
        <c:axId val="66460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64606040"/>
        <c:crosses val="autoZero"/>
        <c:auto val="1"/>
        <c:lblAlgn val="ctr"/>
        <c:lblOffset val="100"/>
        <c:noMultiLvlLbl val="0"/>
      </c:catAx>
      <c:valAx>
        <c:axId val="664606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64606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378105861767285"/>
          <c:y val="2.4602227986185377E-2"/>
          <c:w val="0.59602449693788273"/>
          <c:h val="0.87042987790894144"/>
        </c:manualLayout>
      </c:layout>
      <c:barChart>
        <c:barDir val="bar"/>
        <c:grouping val="clustered"/>
        <c:varyColors val="0"/>
        <c:ser>
          <c:idx val="0"/>
          <c:order val="0"/>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0CA0-4BBB-B4BB-4AE2EDE7B505}"/>
              </c:ext>
            </c:extLst>
          </c:dPt>
          <c:dPt>
            <c:idx val="11"/>
            <c:invertIfNegative val="0"/>
            <c:bubble3D val="0"/>
            <c:spPr>
              <a:solidFill>
                <a:srgbClr val="FFC000"/>
              </a:solidFill>
            </c:spPr>
            <c:extLst xmlns:c16r2="http://schemas.microsoft.com/office/drawing/2015/06/chart">
              <c:ext xmlns:c16="http://schemas.microsoft.com/office/drawing/2014/chart" uri="{C3380CC4-5D6E-409C-BE32-E72D297353CC}">
                <c16:uniqueId val="{00000003-0CA0-4BBB-B4BB-4AE2EDE7B505}"/>
              </c:ext>
            </c:extLst>
          </c:dPt>
          <c:dPt>
            <c:idx val="31"/>
            <c:invertIfNegative val="0"/>
            <c:bubble3D val="0"/>
            <c:spPr>
              <a:solidFill>
                <a:srgbClr val="FF0000"/>
              </a:solidFill>
            </c:spPr>
            <c:extLst xmlns:c16r2="http://schemas.microsoft.com/office/drawing/2015/06/chart">
              <c:ext xmlns:c16="http://schemas.microsoft.com/office/drawing/2014/chart" uri="{C3380CC4-5D6E-409C-BE32-E72D297353CC}">
                <c16:uniqueId val="{00000005-0CA0-4BBB-B4BB-4AE2EDE7B505}"/>
              </c:ext>
            </c:extLst>
          </c:dPt>
          <c:cat>
            <c:strRef>
              <c:f>Hoja1!$I$5:$I$36</c:f>
              <c:strCache>
                <c:ptCount val="32"/>
                <c:pt idx="0">
                  <c:v>	Colima</c:v>
                </c:pt>
                <c:pt idx="1">
                  <c:v>	Aguascalientes</c:v>
                </c:pt>
                <c:pt idx="2">
                  <c:v>	Guanajuato</c:v>
                </c:pt>
                <c:pt idx="3">
                  <c:v>	Sa Luis Potosí</c:v>
                </c:pt>
                <c:pt idx="4">
                  <c:v>	Chiapas</c:v>
                </c:pt>
                <c:pt idx="5">
                  <c:v>	Campeche</c:v>
                </c:pt>
                <c:pt idx="6">
                  <c:v>	Zacatecas</c:v>
                </c:pt>
                <c:pt idx="7">
                  <c:v>	Sinaloa</c:v>
                </c:pt>
                <c:pt idx="8">
                  <c:v>	México</c:v>
                </c:pt>
                <c:pt idx="9">
                  <c:v>	Sonora</c:v>
                </c:pt>
                <c:pt idx="10">
                  <c:v>	Puebla</c:v>
                </c:pt>
                <c:pt idx="11">
                  <c:v>	Michoacán</c:v>
                </c:pt>
                <c:pt idx="12">
                  <c:v>	Veracruz</c:v>
                </c:pt>
                <c:pt idx="13">
                  <c:v>	Hidalgo</c:v>
                </c:pt>
                <c:pt idx="14">
                  <c:v>	Tabasco</c:v>
                </c:pt>
                <c:pt idx="15">
                  <c:v>	NuevoLeón</c:v>
                </c:pt>
                <c:pt idx="16">
                  <c:v>	Querétaro</c:v>
                </c:pt>
                <c:pt idx="17">
                  <c:v>	Yucatán</c:v>
                </c:pt>
                <c:pt idx="18">
                  <c:v>	Tamaulipas</c:v>
                </c:pt>
                <c:pt idx="19">
                  <c:v>	Durango</c:v>
                </c:pt>
                <c:pt idx="20">
                  <c:v>	Coahuila</c:v>
                </c:pt>
                <c:pt idx="21">
                  <c:v>	Nayarit</c:v>
                </c:pt>
                <c:pt idx="22">
                  <c:v>	Tlaxcala</c:v>
                </c:pt>
                <c:pt idx="23">
                  <c:v>	Oaxaca</c:v>
                </c:pt>
                <c:pt idx="24">
                  <c:v>	Quintana</c:v>
                </c:pt>
                <c:pt idx="25">
                  <c:v>	Jalisco</c:v>
                </c:pt>
                <c:pt idx="26">
                  <c:v>	Chihuahua</c:v>
                </c:pt>
                <c:pt idx="27">
                  <c:v>	Bja CaliforniaSur</c:v>
                </c:pt>
                <c:pt idx="28">
                  <c:v>	Guerrero</c:v>
                </c:pt>
                <c:pt idx="29">
                  <c:v>	Bja California</c:v>
                </c:pt>
                <c:pt idx="30">
                  <c:v>	Morelos</c:v>
                </c:pt>
                <c:pt idx="31">
                  <c:v>Ciudad de México</c:v>
                </c:pt>
              </c:strCache>
            </c:strRef>
          </c:cat>
          <c:val>
            <c:numRef>
              <c:f>Hoja1!$J$5:$J$36</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val>
          <c:extLst xmlns:c16r2="http://schemas.microsoft.com/office/drawing/2015/06/chart">
            <c:ext xmlns:c16="http://schemas.microsoft.com/office/drawing/2014/chart" uri="{C3380CC4-5D6E-409C-BE32-E72D297353CC}">
              <c16:uniqueId val="{00000006-0CA0-4BBB-B4BB-4AE2EDE7B505}"/>
            </c:ext>
          </c:extLst>
        </c:ser>
        <c:dLbls>
          <c:showLegendKey val="0"/>
          <c:showVal val="0"/>
          <c:showCatName val="0"/>
          <c:showSerName val="0"/>
          <c:showPercent val="0"/>
          <c:showBubbleSize val="0"/>
        </c:dLbls>
        <c:gapWidth val="150"/>
        <c:axId val="664596632"/>
        <c:axId val="664593104"/>
      </c:barChart>
      <c:catAx>
        <c:axId val="664596632"/>
        <c:scaling>
          <c:orientation val="maxMin"/>
        </c:scaling>
        <c:delete val="0"/>
        <c:axPos val="l"/>
        <c:numFmt formatCode="General" sourceLinked="0"/>
        <c:majorTickMark val="out"/>
        <c:minorTickMark val="none"/>
        <c:tickLblPos val="nextTo"/>
        <c:crossAx val="664593104"/>
        <c:crosses val="autoZero"/>
        <c:auto val="1"/>
        <c:lblAlgn val="ctr"/>
        <c:lblOffset val="100"/>
        <c:noMultiLvlLbl val="0"/>
      </c:catAx>
      <c:valAx>
        <c:axId val="664593104"/>
        <c:scaling>
          <c:orientation val="minMax"/>
        </c:scaling>
        <c:delete val="0"/>
        <c:axPos val="t"/>
        <c:majorGridlines/>
        <c:numFmt formatCode="General" sourceLinked="1"/>
        <c:majorTickMark val="out"/>
        <c:minorTickMark val="none"/>
        <c:tickLblPos val="nextTo"/>
        <c:crossAx val="664596632"/>
        <c:crosses val="autoZero"/>
        <c:crossBetween val="between"/>
      </c:valAx>
    </c:plotArea>
    <c:plotVisOnly val="1"/>
    <c:dispBlanksAs val="gap"/>
    <c:showDLblsOverMax val="0"/>
  </c:chart>
  <c:txPr>
    <a:bodyPr/>
    <a:lstStyle/>
    <a:p>
      <a:pPr>
        <a:defRPr sz="800" baseline="0">
          <a:latin typeface="Calibri" panose="020F0502020204030204" pitchFamily="34" charset="0"/>
        </a:defRPr>
      </a:pPr>
      <a:endParaRPr lang="es-E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ES" sz="10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Tasa de Superficie Erosionada por cada 10,000 hectáreas</a:t>
            </a:r>
          </a:p>
          <a:p>
            <a:pPr>
              <a:defRPr lang="es-ES" sz="1000">
                <a:latin typeface="Arial" panose="020B0604020202020204" pitchFamily="34" charset="0"/>
                <a:cs typeface="Arial" panose="020B0604020202020204" pitchFamily="34" charset="0"/>
              </a:defRPr>
            </a:pPr>
            <a:r>
              <a:rPr lang="en-US" sz="800">
                <a:latin typeface="Arial" panose="020B0604020202020204" pitchFamily="34" charset="0"/>
                <a:cs typeface="Arial" panose="020B0604020202020204" pitchFamily="34" charset="0"/>
              </a:rPr>
              <a:t>2010</a:t>
            </a:r>
          </a:p>
          <a:p>
            <a:pPr>
              <a:defRPr lang="es-ES" sz="1000">
                <a:latin typeface="Arial" panose="020B0604020202020204" pitchFamily="34" charset="0"/>
                <a:cs typeface="Arial" panose="020B0604020202020204" pitchFamily="34" charset="0"/>
              </a:defRPr>
            </a:pPr>
            <a:endParaRPr lang="en-US" sz="1000">
              <a:latin typeface="Arial" panose="020B0604020202020204" pitchFamily="34" charset="0"/>
              <a:cs typeface="Arial" panose="020B0604020202020204" pitchFamily="34" charset="0"/>
            </a:endParaRPr>
          </a:p>
        </c:rich>
      </c:tx>
      <c:layout>
        <c:manualLayout>
          <c:xMode val="edge"/>
          <c:yMode val="edge"/>
          <c:x val="0.18091862351575499"/>
          <c:y val="1.881911662114941E-2"/>
        </c:manualLayout>
      </c:layout>
      <c:overlay val="0"/>
    </c:title>
    <c:autoTitleDeleted val="0"/>
    <c:plotArea>
      <c:layout/>
      <c:barChart>
        <c:barDir val="col"/>
        <c:grouping val="clustered"/>
        <c:varyColors val="0"/>
        <c:ser>
          <c:idx val="0"/>
          <c:order val="0"/>
          <c:spPr>
            <a:solidFill>
              <a:srgbClr val="9BBB59">
                <a:lumMod val="75000"/>
              </a:srgbClr>
            </a:solidFill>
          </c:spPr>
          <c:invertIfNegative val="0"/>
          <c:dPt>
            <c:idx val="0"/>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1-D0D2-42B5-9D3A-9F3827C172DE}"/>
              </c:ext>
            </c:extLst>
          </c:dPt>
          <c:cat>
            <c:strRef>
              <c:f>'SUP EROSIONADA MEDIA NAC'!$B$4:$B$5</c:f>
              <c:strCache>
                <c:ptCount val="2"/>
                <c:pt idx="0">
                  <c:v>Michoacán de Ocampo</c:v>
                </c:pt>
                <c:pt idx="1">
                  <c:v>Media Nacional</c:v>
                </c:pt>
              </c:strCache>
            </c:strRef>
          </c:cat>
          <c:val>
            <c:numRef>
              <c:f>'SUP EROSIONADA MEDIA NAC'!$C$4:$C$5</c:f>
              <c:numCache>
                <c:formatCode>General</c:formatCode>
                <c:ptCount val="2"/>
                <c:pt idx="0">
                  <c:v>1.1599999999999995</c:v>
                </c:pt>
                <c:pt idx="1">
                  <c:v>4.26</c:v>
                </c:pt>
              </c:numCache>
            </c:numRef>
          </c:val>
          <c:extLst xmlns:c16r2="http://schemas.microsoft.com/office/drawing/2015/06/chart">
            <c:ext xmlns:c16="http://schemas.microsoft.com/office/drawing/2014/chart" uri="{C3380CC4-5D6E-409C-BE32-E72D297353CC}">
              <c16:uniqueId val="{00000002-D0D2-42B5-9D3A-9F3827C172DE}"/>
            </c:ext>
          </c:extLst>
        </c:ser>
        <c:dLbls>
          <c:showLegendKey val="0"/>
          <c:showVal val="0"/>
          <c:showCatName val="0"/>
          <c:showSerName val="0"/>
          <c:showPercent val="0"/>
          <c:showBubbleSize val="0"/>
        </c:dLbls>
        <c:gapWidth val="150"/>
        <c:axId val="664596240"/>
        <c:axId val="664601336"/>
      </c:barChart>
      <c:catAx>
        <c:axId val="664596240"/>
        <c:scaling>
          <c:orientation val="minMax"/>
        </c:scaling>
        <c:delete val="0"/>
        <c:axPos val="b"/>
        <c:numFmt formatCode="General" sourceLinked="0"/>
        <c:majorTickMark val="none"/>
        <c:minorTickMark val="none"/>
        <c:tickLblPos val="nextTo"/>
        <c:txPr>
          <a:bodyPr/>
          <a:lstStyle/>
          <a:p>
            <a:pPr>
              <a:defRPr lang="es-ES"/>
            </a:pPr>
            <a:endParaRPr lang="es-ES"/>
          </a:p>
        </c:txPr>
        <c:crossAx val="664601336"/>
        <c:crosses val="autoZero"/>
        <c:auto val="1"/>
        <c:lblAlgn val="ctr"/>
        <c:lblOffset val="100"/>
        <c:noMultiLvlLbl val="0"/>
      </c:catAx>
      <c:valAx>
        <c:axId val="664601336"/>
        <c:scaling>
          <c:orientation val="minMax"/>
        </c:scaling>
        <c:delete val="0"/>
        <c:axPos val="l"/>
        <c:majorGridlines/>
        <c:title>
          <c:tx>
            <c:rich>
              <a:bodyPr/>
              <a:lstStyle/>
              <a:p>
                <a:pPr>
                  <a:defRPr lang="es-ES"/>
                </a:pPr>
                <a:r>
                  <a:rPr lang="en-US"/>
                  <a:t>Tasa Media Nacional</a:t>
                </a:r>
              </a:p>
            </c:rich>
          </c:tx>
          <c:layout>
            <c:manualLayout>
              <c:xMode val="edge"/>
              <c:yMode val="edge"/>
              <c:x val="5.4919908466819219E-2"/>
              <c:y val="0.10427434984633098"/>
            </c:manualLayout>
          </c:layout>
          <c:overlay val="0"/>
        </c:title>
        <c:numFmt formatCode="General" sourceLinked="1"/>
        <c:majorTickMark val="none"/>
        <c:minorTickMark val="none"/>
        <c:tickLblPos val="nextTo"/>
        <c:txPr>
          <a:bodyPr/>
          <a:lstStyle/>
          <a:p>
            <a:pPr>
              <a:defRPr lang="es-ES"/>
            </a:pPr>
            <a:endParaRPr lang="es-ES"/>
          </a:p>
        </c:txPr>
        <c:crossAx val="664596240"/>
        <c:crosses val="autoZero"/>
        <c:crossBetween val="between"/>
      </c:valAx>
      <c:dTable>
        <c:showHorzBorder val="1"/>
        <c:showVertBorder val="1"/>
        <c:showOutline val="1"/>
        <c:showKeys val="1"/>
        <c:txPr>
          <a:bodyPr/>
          <a:lstStyle/>
          <a:p>
            <a:pPr rtl="0">
              <a:defRPr lang="es-ES"/>
            </a:pPr>
            <a:endParaRPr lang="es-ES"/>
          </a:p>
        </c:txPr>
      </c:dTable>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150971348082762E-2"/>
          <c:y val="0.28301517188400233"/>
          <c:w val="0.76243339253996434"/>
          <c:h val="0.55281654086737131"/>
        </c:manualLayout>
      </c:layout>
      <c:barChart>
        <c:barDir val="col"/>
        <c:grouping val="clustered"/>
        <c:varyColors val="0"/>
        <c:ser>
          <c:idx val="0"/>
          <c:order val="0"/>
          <c:invertIfNegative val="0"/>
          <c:dPt>
            <c:idx val="1"/>
            <c:invertIfNegative val="0"/>
            <c:bubble3D val="0"/>
            <c:spPr>
              <a:solidFill>
                <a:srgbClr val="9BBB59">
                  <a:lumMod val="75000"/>
                </a:srgbClr>
              </a:solidFill>
            </c:spPr>
            <c:extLst xmlns:c16r2="http://schemas.microsoft.com/office/drawing/2015/06/chart">
              <c:ext xmlns:c16="http://schemas.microsoft.com/office/drawing/2014/chart" uri="{C3380CC4-5D6E-409C-BE32-E72D297353CC}">
                <c16:uniqueId val="{00000001-06FA-4339-988C-1E6A5AB22A38}"/>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'COMPETITIVIDAD MEDIA NAC'!$B$4:$B$5</c:f>
              <c:strCache>
                <c:ptCount val="2"/>
                <c:pt idx="0">
                  <c:v>Michoacán de Ocampo</c:v>
                </c:pt>
                <c:pt idx="1">
                  <c:v>Media Nacional</c:v>
                </c:pt>
              </c:strCache>
            </c:strRef>
          </c:cat>
          <c:val>
            <c:numRef>
              <c:f>'COMPETITIVIDAD MEDIA NAC'!$C$4:$C$5</c:f>
              <c:numCache>
                <c:formatCode>General</c:formatCode>
                <c:ptCount val="2"/>
                <c:pt idx="0">
                  <c:v>44.98</c:v>
                </c:pt>
                <c:pt idx="1">
                  <c:v>46.43</c:v>
                </c:pt>
              </c:numCache>
            </c:numRef>
          </c:val>
          <c:extLst xmlns:c16r2="http://schemas.microsoft.com/office/drawing/2015/06/chart">
            <c:ext xmlns:c16="http://schemas.microsoft.com/office/drawing/2014/chart" uri="{C3380CC4-5D6E-409C-BE32-E72D297353CC}">
              <c16:uniqueId val="{00000002-06FA-4339-988C-1E6A5AB22A38}"/>
            </c:ext>
          </c:extLst>
        </c:ser>
        <c:dLbls>
          <c:showLegendKey val="0"/>
          <c:showVal val="1"/>
          <c:showCatName val="0"/>
          <c:showSerName val="0"/>
          <c:showPercent val="0"/>
          <c:showBubbleSize val="0"/>
        </c:dLbls>
        <c:gapWidth val="150"/>
        <c:overlap val="-25"/>
        <c:axId val="664600160"/>
        <c:axId val="664594672"/>
      </c:barChart>
      <c:catAx>
        <c:axId val="664600160"/>
        <c:scaling>
          <c:orientation val="minMax"/>
        </c:scaling>
        <c:delete val="0"/>
        <c:axPos val="b"/>
        <c:numFmt formatCode="General" sourceLinked="0"/>
        <c:majorTickMark val="none"/>
        <c:minorTickMark val="none"/>
        <c:tickLblPos val="nextTo"/>
        <c:txPr>
          <a:bodyPr/>
          <a:lstStyle/>
          <a:p>
            <a:pPr>
              <a:defRPr lang="es-ES"/>
            </a:pPr>
            <a:endParaRPr lang="es-ES"/>
          </a:p>
        </c:txPr>
        <c:crossAx val="664594672"/>
        <c:crosses val="autoZero"/>
        <c:auto val="1"/>
        <c:lblAlgn val="ctr"/>
        <c:lblOffset val="100"/>
        <c:noMultiLvlLbl val="0"/>
      </c:catAx>
      <c:valAx>
        <c:axId val="664594672"/>
        <c:scaling>
          <c:orientation val="minMax"/>
        </c:scaling>
        <c:delete val="1"/>
        <c:axPos val="l"/>
        <c:numFmt formatCode="General" sourceLinked="1"/>
        <c:majorTickMark val="none"/>
        <c:minorTickMark val="none"/>
        <c:tickLblPos val="none"/>
        <c:crossAx val="664600160"/>
        <c:crosses val="autoZero"/>
        <c:crossBetween val="between"/>
      </c:valAx>
    </c:plotArea>
    <c:legend>
      <c:legendPos val="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077195868944473"/>
          <c:y val="1.7707304935506912E-2"/>
          <c:w val="0.7270260325416753"/>
          <c:h val="0.91405973335901802"/>
        </c:manualLayout>
      </c:layout>
      <c:barChart>
        <c:barDir val="bar"/>
        <c:grouping val="clustered"/>
        <c:varyColors val="0"/>
        <c:ser>
          <c:idx val="0"/>
          <c:order val="0"/>
          <c:spPr>
            <a:scene3d>
              <a:camera prst="orthographicFront"/>
              <a:lightRig rig="threePt" dir="t"/>
            </a:scene3d>
            <a:sp3d>
              <a:bevelT/>
            </a:sp3d>
          </c:spPr>
          <c:invertIfNegative val="0"/>
          <c:dPt>
            <c:idx val="30"/>
            <c:invertIfNegative val="0"/>
            <c:bubble3D val="0"/>
            <c:spPr>
              <a:solidFill>
                <a:srgbClr val="CC0099"/>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EB26-4D8F-B595-74F0FDBCBF4C}"/>
              </c:ext>
            </c:extLst>
          </c:dPt>
          <c:dPt>
            <c:idx val="32"/>
            <c:invertIfNegative val="0"/>
            <c:bubble3D val="0"/>
            <c:spPr>
              <a:solidFill>
                <a:srgbClr val="00B050"/>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EB26-4D8F-B595-74F0FDBCBF4C}"/>
              </c:ext>
            </c:extLst>
          </c:dPt>
          <c:dLbls>
            <c:spPr>
              <a:noFill/>
              <a:ln>
                <a:noFill/>
              </a:ln>
              <a:effectLst/>
            </c:spPr>
            <c:txPr>
              <a:bodyPr/>
              <a:lstStyle/>
              <a:p>
                <a:pPr>
                  <a:defRPr sz="900"/>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Hoja1!$B$32:$B$64</c:f>
              <c:strCache>
                <c:ptCount val="33"/>
                <c:pt idx="0">
                  <c:v>Distrito Federal</c:v>
                </c:pt>
                <c:pt idx="1">
                  <c:v>Coahuila</c:v>
                </c:pt>
                <c:pt idx="2">
                  <c:v>San Luis Potosí</c:v>
                </c:pt>
                <c:pt idx="3">
                  <c:v>Chiapas</c:v>
                </c:pt>
                <c:pt idx="4">
                  <c:v>Veracruz</c:v>
                </c:pt>
                <c:pt idx="5">
                  <c:v>Nuevo León</c:v>
                </c:pt>
                <c:pt idx="6">
                  <c:v>Tabasco</c:v>
                </c:pt>
                <c:pt idx="7">
                  <c:v>Durango</c:v>
                </c:pt>
                <c:pt idx="8">
                  <c:v>México</c:v>
                </c:pt>
                <c:pt idx="9">
                  <c:v>Campeche</c:v>
                </c:pt>
                <c:pt idx="10">
                  <c:v>Morelos</c:v>
                </c:pt>
                <c:pt idx="11">
                  <c:v>Sonora</c:v>
                </c:pt>
                <c:pt idx="12">
                  <c:v>Zacatecas</c:v>
                </c:pt>
                <c:pt idx="13">
                  <c:v>Sinaloa</c:v>
                </c:pt>
                <c:pt idx="14">
                  <c:v>Aguascalientes</c:v>
                </c:pt>
                <c:pt idx="15">
                  <c:v>Jalisco</c:v>
                </c:pt>
                <c:pt idx="16">
                  <c:v>Puebla</c:v>
                </c:pt>
                <c:pt idx="17">
                  <c:v>Colima</c:v>
                </c:pt>
                <c:pt idx="18">
                  <c:v>Chihuahua</c:v>
                </c:pt>
                <c:pt idx="19">
                  <c:v>Tlaxcala</c:v>
                </c:pt>
                <c:pt idx="20">
                  <c:v>Nayarit</c:v>
                </c:pt>
                <c:pt idx="21">
                  <c:v>Guanajuato</c:v>
                </c:pt>
                <c:pt idx="22">
                  <c:v>Yucatán</c:v>
                </c:pt>
                <c:pt idx="23">
                  <c:v>Baja California </c:v>
                </c:pt>
                <c:pt idx="24">
                  <c:v>Tamaulipas</c:v>
                </c:pt>
                <c:pt idx="25">
                  <c:v>Hidalgo</c:v>
                </c:pt>
                <c:pt idx="26">
                  <c:v>Oaxaca</c:v>
                </c:pt>
                <c:pt idx="27">
                  <c:v>Quintana Roo</c:v>
                </c:pt>
                <c:pt idx="28">
                  <c:v>Querétaro</c:v>
                </c:pt>
                <c:pt idx="29">
                  <c:v>Guerrero</c:v>
                </c:pt>
                <c:pt idx="30">
                  <c:v>MICHOACÁN</c:v>
                </c:pt>
                <c:pt idx="31">
                  <c:v>Baja California Sur</c:v>
                </c:pt>
                <c:pt idx="32">
                  <c:v>MEDIA NACIONAL</c:v>
                </c:pt>
              </c:strCache>
            </c:strRef>
          </c:cat>
          <c:val>
            <c:numRef>
              <c:f>Hoja1!$C$32:$C$64</c:f>
              <c:numCache>
                <c:formatCode>0.000</c:formatCode>
                <c:ptCount val="33"/>
                <c:pt idx="0">
                  <c:v>0.81699999999999995</c:v>
                </c:pt>
                <c:pt idx="1">
                  <c:v>0.80300000000000005</c:v>
                </c:pt>
                <c:pt idx="2">
                  <c:v>0.79700000000000004</c:v>
                </c:pt>
                <c:pt idx="3">
                  <c:v>0.79100000000000004</c:v>
                </c:pt>
                <c:pt idx="4">
                  <c:v>0.77800000000000025</c:v>
                </c:pt>
                <c:pt idx="5">
                  <c:v>0.77000000000000024</c:v>
                </c:pt>
                <c:pt idx="6">
                  <c:v>0.75500000000000023</c:v>
                </c:pt>
                <c:pt idx="7">
                  <c:v>0.75200000000000022</c:v>
                </c:pt>
                <c:pt idx="8">
                  <c:v>0.75200000000000022</c:v>
                </c:pt>
                <c:pt idx="9">
                  <c:v>0.75000000000000022</c:v>
                </c:pt>
                <c:pt idx="10">
                  <c:v>0.75000000000000022</c:v>
                </c:pt>
                <c:pt idx="11">
                  <c:v>0.74800000000000022</c:v>
                </c:pt>
                <c:pt idx="12">
                  <c:v>0.73300000000000021</c:v>
                </c:pt>
                <c:pt idx="13">
                  <c:v>0.73100000000000021</c:v>
                </c:pt>
                <c:pt idx="14">
                  <c:v>0.7300000000000002</c:v>
                </c:pt>
                <c:pt idx="15">
                  <c:v>0.7300000000000002</c:v>
                </c:pt>
                <c:pt idx="16">
                  <c:v>0.7280000000000002</c:v>
                </c:pt>
                <c:pt idx="17">
                  <c:v>0.7260000000000002</c:v>
                </c:pt>
                <c:pt idx="18">
                  <c:v>0.71400000000000019</c:v>
                </c:pt>
                <c:pt idx="19">
                  <c:v>0.71400000000000019</c:v>
                </c:pt>
                <c:pt idx="20">
                  <c:v>0.71100000000000019</c:v>
                </c:pt>
                <c:pt idx="21">
                  <c:v>0.70400000000000018</c:v>
                </c:pt>
                <c:pt idx="22">
                  <c:v>0.70400000000000018</c:v>
                </c:pt>
                <c:pt idx="23">
                  <c:v>0.70000000000000018</c:v>
                </c:pt>
                <c:pt idx="24">
                  <c:v>0.69599999999999995</c:v>
                </c:pt>
                <c:pt idx="25">
                  <c:v>0.69499999999999995</c:v>
                </c:pt>
                <c:pt idx="26">
                  <c:v>0.69299999999999995</c:v>
                </c:pt>
                <c:pt idx="27">
                  <c:v>0.67400000000000027</c:v>
                </c:pt>
                <c:pt idx="28">
                  <c:v>0.67000000000000026</c:v>
                </c:pt>
                <c:pt idx="29">
                  <c:v>0.65700000000000025</c:v>
                </c:pt>
                <c:pt idx="30">
                  <c:v>0.58199999999999996</c:v>
                </c:pt>
                <c:pt idx="31">
                  <c:v>0.56200000000000028</c:v>
                </c:pt>
                <c:pt idx="32">
                  <c:v>0.7220000000000002</c:v>
                </c:pt>
              </c:numCache>
            </c:numRef>
          </c:val>
          <c:extLst xmlns:c16r2="http://schemas.microsoft.com/office/drawing/2015/06/chart">
            <c:ext xmlns:c16="http://schemas.microsoft.com/office/drawing/2014/chart" uri="{C3380CC4-5D6E-409C-BE32-E72D297353CC}">
              <c16:uniqueId val="{00000004-EB26-4D8F-B595-74F0FDBCBF4C}"/>
            </c:ext>
          </c:extLst>
        </c:ser>
        <c:dLbls>
          <c:showLegendKey val="0"/>
          <c:showVal val="0"/>
          <c:showCatName val="0"/>
          <c:showSerName val="0"/>
          <c:showPercent val="0"/>
          <c:showBubbleSize val="0"/>
        </c:dLbls>
        <c:gapWidth val="108"/>
        <c:axId val="654851984"/>
        <c:axId val="654852768"/>
      </c:barChart>
      <c:catAx>
        <c:axId val="654851984"/>
        <c:scaling>
          <c:orientation val="minMax"/>
        </c:scaling>
        <c:delete val="0"/>
        <c:axPos val="l"/>
        <c:numFmt formatCode="General" sourceLinked="0"/>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s-ES"/>
          </a:p>
        </c:txPr>
        <c:crossAx val="654852768"/>
        <c:crosses val="autoZero"/>
        <c:auto val="1"/>
        <c:lblAlgn val="ctr"/>
        <c:lblOffset val="100"/>
        <c:noMultiLvlLbl val="0"/>
      </c:catAx>
      <c:valAx>
        <c:axId val="654852768"/>
        <c:scaling>
          <c:orientation val="minMax"/>
        </c:scaling>
        <c:delete val="0"/>
        <c:axPos val="b"/>
        <c:numFmt formatCode="0.000" sourceLinked="1"/>
        <c:majorTickMark val="out"/>
        <c:minorTickMark val="none"/>
        <c:tickLblPos val="nextTo"/>
        <c:crossAx val="654851984"/>
        <c:crosses val="autoZero"/>
        <c:crossBetween val="between"/>
      </c:valAx>
    </c:plotArea>
    <c:plotVisOnly val="1"/>
    <c:dispBlanksAs val="gap"/>
    <c:showDLblsOverMax val="0"/>
  </c:chart>
  <c:txPr>
    <a:bodyPr/>
    <a:lstStyle/>
    <a:p>
      <a:pPr>
        <a:defRPr>
          <a:latin typeface="GalanoGrotesque-Regular" pitchFamily="50" charset="0"/>
        </a:defRPr>
      </a:pPr>
      <a:endParaRPr lang="es-E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973947495463708"/>
          <c:y val="1.6780321064518097E-2"/>
          <c:w val="0.66926837270341233"/>
          <c:h val="0.94520417505951293"/>
        </c:manualLayout>
      </c:layout>
      <c:barChart>
        <c:barDir val="bar"/>
        <c:grouping val="clustered"/>
        <c:varyColors val="0"/>
        <c:ser>
          <c:idx val="0"/>
          <c:order val="0"/>
          <c:spPr>
            <a:solidFill>
              <a:srgbClr val="00B0F0"/>
            </a:solidFill>
            <a:scene3d>
              <a:camera prst="orthographicFront"/>
              <a:lightRig rig="threePt" dir="t"/>
            </a:scene3d>
            <a:sp3d>
              <a:bevelT/>
            </a:sp3d>
          </c:spPr>
          <c:invertIfNegative val="0"/>
          <c:dPt>
            <c:idx val="19"/>
            <c:invertIfNegative val="0"/>
            <c:bubble3D val="0"/>
            <c:spPr>
              <a:solidFill>
                <a:srgbClr val="CC0099"/>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7D73-44A3-8337-A74075305BDF}"/>
              </c:ext>
            </c:extLst>
          </c:dPt>
          <c:dPt>
            <c:idx val="25"/>
            <c:invertIfNegative val="0"/>
            <c:bubble3D val="0"/>
            <c:spPr>
              <a:solidFill>
                <a:srgbClr val="00B050"/>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7D73-44A3-8337-A74075305BDF}"/>
              </c:ext>
            </c:extLst>
          </c:dPt>
          <c:dLbls>
            <c:spPr>
              <a:noFill/>
              <a:ln>
                <a:noFill/>
              </a:ln>
              <a:effectLst/>
            </c:spPr>
            <c:txPr>
              <a:bodyPr/>
              <a:lstStyle/>
              <a:p>
                <a:pPr>
                  <a:defRPr sz="800">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Hoja1!$B$4:$B$36</c:f>
              <c:strCache>
                <c:ptCount val="33"/>
                <c:pt idx="0">
                  <c:v>Baja California Sur</c:v>
                </c:pt>
                <c:pt idx="1">
                  <c:v>Durango</c:v>
                </c:pt>
                <c:pt idx="2">
                  <c:v>Nayarit</c:v>
                </c:pt>
                <c:pt idx="3">
                  <c:v>Aguascalientes</c:v>
                </c:pt>
                <c:pt idx="4">
                  <c:v>Yucatán</c:v>
                </c:pt>
                <c:pt idx="5">
                  <c:v>San Luis Potosí</c:v>
                </c:pt>
                <c:pt idx="6">
                  <c:v>Quintana Roo</c:v>
                </c:pt>
                <c:pt idx="7">
                  <c:v>Zacatecas</c:v>
                </c:pt>
                <c:pt idx="8">
                  <c:v>**Tamaulipas</c:v>
                </c:pt>
                <c:pt idx="9">
                  <c:v>Morelos</c:v>
                </c:pt>
                <c:pt idx="10">
                  <c:v>Querétaro</c:v>
                </c:pt>
                <c:pt idx="11">
                  <c:v>Veracruz</c:v>
                </c:pt>
                <c:pt idx="12">
                  <c:v>Chihuahua</c:v>
                </c:pt>
                <c:pt idx="13">
                  <c:v>**Baja California</c:v>
                </c:pt>
                <c:pt idx="14">
                  <c:v>Puebla</c:v>
                </c:pt>
                <c:pt idx="15">
                  <c:v>Guanajuato</c:v>
                </c:pt>
                <c:pt idx="16">
                  <c:v>Chiapas</c:v>
                </c:pt>
                <c:pt idx="17">
                  <c:v>Coahuila</c:v>
                </c:pt>
                <c:pt idx="18">
                  <c:v>Campeche</c:v>
                </c:pt>
                <c:pt idx="19">
                  <c:v>MICHOACÁN</c:v>
                </c:pt>
                <c:pt idx="20">
                  <c:v>Sonora</c:v>
                </c:pt>
                <c:pt idx="21">
                  <c:v>Nuevo León</c:v>
                </c:pt>
                <c:pt idx="22">
                  <c:v>Sinaloa</c:v>
                </c:pt>
                <c:pt idx="23">
                  <c:v>Tlaxcala</c:v>
                </c:pt>
                <c:pt idx="24">
                  <c:v>Jalisco</c:v>
                </c:pt>
                <c:pt idx="25">
                  <c:v>NACIONAL</c:v>
                </c:pt>
                <c:pt idx="26">
                  <c:v>Colima</c:v>
                </c:pt>
                <c:pt idx="27">
                  <c:v>Tabasco</c:v>
                </c:pt>
                <c:pt idx="28">
                  <c:v>Hidalgo </c:v>
                </c:pt>
                <c:pt idx="29">
                  <c:v>Oaxaca</c:v>
                </c:pt>
                <c:pt idx="30">
                  <c:v>Guerrero</c:v>
                </c:pt>
                <c:pt idx="31">
                  <c:v>Estado de México</c:v>
                </c:pt>
                <c:pt idx="32">
                  <c:v>Distrito Federal</c:v>
                </c:pt>
              </c:strCache>
            </c:strRef>
          </c:cat>
          <c:val>
            <c:numRef>
              <c:f>Hoja1!$C$4:$C$36</c:f>
              <c:numCache>
                <c:formatCode>0.0</c:formatCode>
                <c:ptCount val="33"/>
                <c:pt idx="0">
                  <c:v>1.8</c:v>
                </c:pt>
                <c:pt idx="1">
                  <c:v>3.9</c:v>
                </c:pt>
                <c:pt idx="2">
                  <c:v>4.4000000000000004</c:v>
                </c:pt>
                <c:pt idx="3">
                  <c:v>4.7</c:v>
                </c:pt>
                <c:pt idx="4">
                  <c:v>5</c:v>
                </c:pt>
                <c:pt idx="5">
                  <c:v>5.6</c:v>
                </c:pt>
                <c:pt idx="6">
                  <c:v>5.9</c:v>
                </c:pt>
                <c:pt idx="7">
                  <c:v>6.1</c:v>
                </c:pt>
                <c:pt idx="8">
                  <c:v>6.5</c:v>
                </c:pt>
                <c:pt idx="9">
                  <c:v>6.7</c:v>
                </c:pt>
                <c:pt idx="10">
                  <c:v>6.9</c:v>
                </c:pt>
                <c:pt idx="11">
                  <c:v>6.9</c:v>
                </c:pt>
                <c:pt idx="12">
                  <c:v>7.1</c:v>
                </c:pt>
                <c:pt idx="13">
                  <c:v>7.1</c:v>
                </c:pt>
                <c:pt idx="14">
                  <c:v>7.6</c:v>
                </c:pt>
                <c:pt idx="15">
                  <c:v>7.6</c:v>
                </c:pt>
                <c:pt idx="16">
                  <c:v>7.6</c:v>
                </c:pt>
                <c:pt idx="17">
                  <c:v>8.3000000000000007</c:v>
                </c:pt>
                <c:pt idx="18">
                  <c:v>8.3000000000000007</c:v>
                </c:pt>
                <c:pt idx="19">
                  <c:v>8.4</c:v>
                </c:pt>
                <c:pt idx="20">
                  <c:v>8.4</c:v>
                </c:pt>
                <c:pt idx="21">
                  <c:v>9.1</c:v>
                </c:pt>
                <c:pt idx="22">
                  <c:v>9.9</c:v>
                </c:pt>
                <c:pt idx="23">
                  <c:v>10.200000000000001</c:v>
                </c:pt>
                <c:pt idx="24">
                  <c:v>10.3</c:v>
                </c:pt>
                <c:pt idx="25">
                  <c:v>10.3</c:v>
                </c:pt>
                <c:pt idx="26">
                  <c:v>10.4</c:v>
                </c:pt>
                <c:pt idx="27">
                  <c:v>10.8</c:v>
                </c:pt>
                <c:pt idx="28">
                  <c:v>11.6</c:v>
                </c:pt>
                <c:pt idx="29">
                  <c:v>13.4</c:v>
                </c:pt>
                <c:pt idx="30">
                  <c:v>16</c:v>
                </c:pt>
                <c:pt idx="31">
                  <c:v>16.399999999999999</c:v>
                </c:pt>
                <c:pt idx="32">
                  <c:v>17.899999999999999</c:v>
                </c:pt>
              </c:numCache>
            </c:numRef>
          </c:val>
          <c:extLst xmlns:c16r2="http://schemas.microsoft.com/office/drawing/2015/06/chart">
            <c:ext xmlns:c16="http://schemas.microsoft.com/office/drawing/2014/chart" uri="{C3380CC4-5D6E-409C-BE32-E72D297353CC}">
              <c16:uniqueId val="{00000004-7D73-44A3-8337-A74075305BDF}"/>
            </c:ext>
          </c:extLst>
        </c:ser>
        <c:dLbls>
          <c:showLegendKey val="0"/>
          <c:showVal val="0"/>
          <c:showCatName val="0"/>
          <c:showSerName val="0"/>
          <c:showPercent val="0"/>
          <c:showBubbleSize val="0"/>
        </c:dLbls>
        <c:gapWidth val="74"/>
        <c:axId val="654847280"/>
        <c:axId val="654851200"/>
      </c:barChart>
      <c:catAx>
        <c:axId val="654847280"/>
        <c:scaling>
          <c:orientation val="minMax"/>
        </c:scaling>
        <c:delete val="0"/>
        <c:axPos val="l"/>
        <c:numFmt formatCode="General"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s-ES"/>
          </a:p>
        </c:txPr>
        <c:crossAx val="654851200"/>
        <c:crosses val="autoZero"/>
        <c:auto val="1"/>
        <c:lblAlgn val="ctr"/>
        <c:lblOffset val="100"/>
        <c:noMultiLvlLbl val="0"/>
      </c:catAx>
      <c:valAx>
        <c:axId val="654851200"/>
        <c:scaling>
          <c:orientation val="minMax"/>
        </c:scaling>
        <c:delete val="0"/>
        <c:axPos val="b"/>
        <c:numFmt formatCode="0.0" sourceLinked="1"/>
        <c:majorTickMark val="out"/>
        <c:minorTickMark val="none"/>
        <c:tickLblPos val="nextTo"/>
        <c:crossAx val="654847280"/>
        <c:crosses val="autoZero"/>
        <c:crossBetween val="between"/>
      </c:valAx>
    </c:plotArea>
    <c:plotVisOnly val="1"/>
    <c:dispBlanksAs val="gap"/>
    <c:showDLblsOverMax val="0"/>
  </c:chart>
  <c:txPr>
    <a:bodyPr/>
    <a:lstStyle/>
    <a:p>
      <a:pPr>
        <a:defRPr sz="700">
          <a:latin typeface="GalanoGrotesque-Regular" pitchFamily="50" charset="0"/>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'[CPLADE.xlsx]Grafica 2.3'!$A$3</c:f>
              <c:strCache>
                <c:ptCount val="1"/>
                <c:pt idx="0">
                  <c:v>Michoacán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'[CPLADE.xlsx]Grafica 2.3'!$B$1:$AB$2</c:f>
              <c:multiLvlStrCache>
                <c:ptCount val="27"/>
                <c:lvl>
                  <c:pt idx="0">
                    <c:v>E</c:v>
                  </c:pt>
                  <c:pt idx="1">
                    <c:v>F</c:v>
                  </c:pt>
                  <c:pt idx="2">
                    <c:v>M</c:v>
                  </c:pt>
                  <c:pt idx="3">
                    <c:v>A</c:v>
                  </c:pt>
                  <c:pt idx="4">
                    <c:v>M</c:v>
                  </c:pt>
                  <c:pt idx="5">
                    <c:v>J</c:v>
                  </c:pt>
                  <c:pt idx="6">
                    <c:v>J</c:v>
                  </c:pt>
                  <c:pt idx="7">
                    <c:v>A</c:v>
                  </c:pt>
                  <c:pt idx="8">
                    <c:v>S</c:v>
                  </c:pt>
                  <c:pt idx="9">
                    <c:v>O</c:v>
                  </c:pt>
                  <c:pt idx="10">
                    <c:v>N</c:v>
                  </c:pt>
                  <c:pt idx="11">
                    <c:v>D</c:v>
                  </c:pt>
                  <c:pt idx="12">
                    <c:v>E</c:v>
                  </c:pt>
                  <c:pt idx="13">
                    <c:v>F</c:v>
                  </c:pt>
                  <c:pt idx="14">
                    <c:v>M</c:v>
                  </c:pt>
                  <c:pt idx="15">
                    <c:v>A</c:v>
                  </c:pt>
                  <c:pt idx="16">
                    <c:v>M</c:v>
                  </c:pt>
                  <c:pt idx="17">
                    <c:v>J</c:v>
                  </c:pt>
                  <c:pt idx="18">
                    <c:v>J</c:v>
                  </c:pt>
                  <c:pt idx="19">
                    <c:v>A</c:v>
                  </c:pt>
                  <c:pt idx="20">
                    <c:v>S</c:v>
                  </c:pt>
                  <c:pt idx="21">
                    <c:v>O</c:v>
                  </c:pt>
                  <c:pt idx="22">
                    <c:v>N</c:v>
                  </c:pt>
                  <c:pt idx="23">
                    <c:v>D</c:v>
                  </c:pt>
                  <c:pt idx="24">
                    <c:v>E</c:v>
                  </c:pt>
                  <c:pt idx="25">
                    <c:v>F</c:v>
                  </c:pt>
                  <c:pt idx="26">
                    <c:v>M</c:v>
                  </c:pt>
                </c:lvl>
                <c:lvl>
                  <c:pt idx="0">
                    <c:v>2014</c:v>
                  </c:pt>
                  <c:pt idx="12">
                    <c:v>2015</c:v>
                  </c:pt>
                  <c:pt idx="24">
                    <c:v>2016</c:v>
                  </c:pt>
                </c:lvl>
              </c:multiLvlStrCache>
            </c:multiLvlStrRef>
          </c:cat>
          <c:val>
            <c:numRef>
              <c:f>'[CPLADE.xlsx]Grafica 2.3'!$B$3:$AB$3</c:f>
              <c:numCache>
                <c:formatCode>General</c:formatCode>
                <c:ptCount val="27"/>
                <c:pt idx="0">
                  <c:v>66</c:v>
                </c:pt>
                <c:pt idx="1">
                  <c:v>68</c:v>
                </c:pt>
                <c:pt idx="2">
                  <c:v>78</c:v>
                </c:pt>
                <c:pt idx="3">
                  <c:v>70</c:v>
                </c:pt>
                <c:pt idx="4">
                  <c:v>76</c:v>
                </c:pt>
                <c:pt idx="5">
                  <c:v>67</c:v>
                </c:pt>
                <c:pt idx="6">
                  <c:v>63</c:v>
                </c:pt>
                <c:pt idx="7">
                  <c:v>61</c:v>
                </c:pt>
                <c:pt idx="8">
                  <c:v>60</c:v>
                </c:pt>
                <c:pt idx="9">
                  <c:v>60</c:v>
                </c:pt>
                <c:pt idx="10">
                  <c:v>54</c:v>
                </c:pt>
                <c:pt idx="11">
                  <c:v>54</c:v>
                </c:pt>
                <c:pt idx="12">
                  <c:v>57</c:v>
                </c:pt>
                <c:pt idx="13">
                  <c:v>55</c:v>
                </c:pt>
                <c:pt idx="14">
                  <c:v>52</c:v>
                </c:pt>
                <c:pt idx="15">
                  <c:v>52</c:v>
                </c:pt>
                <c:pt idx="16">
                  <c:v>54</c:v>
                </c:pt>
                <c:pt idx="17">
                  <c:v>56</c:v>
                </c:pt>
                <c:pt idx="18">
                  <c:v>56</c:v>
                </c:pt>
                <c:pt idx="19">
                  <c:v>57</c:v>
                </c:pt>
                <c:pt idx="20">
                  <c:v>58</c:v>
                </c:pt>
                <c:pt idx="21">
                  <c:v>59</c:v>
                </c:pt>
                <c:pt idx="22">
                  <c:v>59</c:v>
                </c:pt>
                <c:pt idx="23">
                  <c:v>60</c:v>
                </c:pt>
                <c:pt idx="24">
                  <c:v>55</c:v>
                </c:pt>
                <c:pt idx="25">
                  <c:v>54</c:v>
                </c:pt>
                <c:pt idx="26">
                  <c:v>56</c:v>
                </c:pt>
              </c:numCache>
            </c:numRef>
          </c:val>
          <c:smooth val="0"/>
          <c:extLst xmlns:c16r2="http://schemas.microsoft.com/office/drawing/2015/06/chart">
            <c:ext xmlns:c16="http://schemas.microsoft.com/office/drawing/2014/chart" uri="{C3380CC4-5D6E-409C-BE32-E72D297353CC}">
              <c16:uniqueId val="{00000000-3007-4C8F-9076-8B2CB5A47DBF}"/>
            </c:ext>
          </c:extLst>
        </c:ser>
        <c:dLbls>
          <c:dLblPos val="t"/>
          <c:showLegendKey val="0"/>
          <c:showVal val="1"/>
          <c:showCatName val="0"/>
          <c:showSerName val="0"/>
          <c:showPercent val="0"/>
          <c:showBubbleSize val="0"/>
        </c:dLbls>
        <c:marker val="1"/>
        <c:smooth val="0"/>
        <c:axId val="664604864"/>
        <c:axId val="664591928"/>
      </c:lineChart>
      <c:catAx>
        <c:axId val="66460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64591928"/>
        <c:crosses val="autoZero"/>
        <c:auto val="1"/>
        <c:lblAlgn val="ctr"/>
        <c:lblOffset val="100"/>
        <c:noMultiLvlLbl val="0"/>
      </c:catAx>
      <c:valAx>
        <c:axId val="664591928"/>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64604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977912896323126"/>
          <c:y val="2.1733459872608579E-2"/>
          <c:w val="0.71344010856358386"/>
          <c:h val="0.95872685502015165"/>
        </c:manualLayout>
      </c:layout>
      <c:barChart>
        <c:barDir val="bar"/>
        <c:grouping val="clustered"/>
        <c:varyColors val="0"/>
        <c:ser>
          <c:idx val="0"/>
          <c:order val="0"/>
          <c:spPr>
            <a:solidFill>
              <a:srgbClr val="00B0F0"/>
            </a:solidFill>
            <a:scene3d>
              <a:camera prst="orthographicFront"/>
              <a:lightRig rig="threePt" dir="t"/>
            </a:scene3d>
            <a:sp3d>
              <a:bevelT/>
            </a:sp3d>
          </c:spPr>
          <c:invertIfNegative val="0"/>
          <c:dPt>
            <c:idx val="14"/>
            <c:invertIfNegative val="0"/>
            <c:bubble3D val="0"/>
            <c:spPr>
              <a:solidFill>
                <a:srgbClr val="00B050"/>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18C2-49AE-BCE9-BD5D4225B590}"/>
              </c:ext>
            </c:extLst>
          </c:dPt>
          <c:dPt>
            <c:idx val="23"/>
            <c:invertIfNegative val="0"/>
            <c:bubble3D val="0"/>
            <c:spPr>
              <a:solidFill>
                <a:srgbClr val="CC0099"/>
              </a:soli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18C2-49AE-BCE9-BD5D4225B590}"/>
              </c:ext>
            </c:extLst>
          </c:dPt>
          <c:dLbls>
            <c:spPr>
              <a:noFill/>
              <a:ln>
                <a:noFill/>
              </a:ln>
              <a:effectLst/>
            </c:spPr>
            <c:txPr>
              <a:bodyPr wrap="square" lIns="38100" tIns="19050" rIns="38100" bIns="19050" anchor="ctr">
                <a:spAutoFit/>
              </a:bodyPr>
              <a:lstStyle/>
              <a:p>
                <a:pPr>
                  <a:defRPr sz="700">
                    <a:latin typeface="Arial" panose="020B0604020202020204" pitchFamily="34" charset="0"/>
                    <a:cs typeface="Arial" panose="020B0604020202020204" pitchFamily="34" charset="0"/>
                  </a:defRPr>
                </a:pPr>
                <a:endParaRPr lang="es-E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'[Percepcion localidad o colonia.xlsx]Hoja1'!$B$3:$B$35</c:f>
              <c:strCache>
                <c:ptCount val="33"/>
                <c:pt idx="0">
                  <c:v>México</c:v>
                </c:pt>
                <c:pt idx="1">
                  <c:v>Tabasco</c:v>
                </c:pt>
                <c:pt idx="2">
                  <c:v>Morelos</c:v>
                </c:pt>
                <c:pt idx="3">
                  <c:v>Guanajuato</c:v>
                </c:pt>
                <c:pt idx="4">
                  <c:v>Ciudad de México</c:v>
                </c:pt>
                <c:pt idx="5">
                  <c:v>Tlaxcala</c:v>
                </c:pt>
                <c:pt idx="6">
                  <c:v>Puebla</c:v>
                </c:pt>
                <c:pt idx="7">
                  <c:v>Querétaro</c:v>
                </c:pt>
                <c:pt idx="8">
                  <c:v>Veracruz</c:v>
                </c:pt>
                <c:pt idx="9">
                  <c:v>Hidalgo</c:v>
                </c:pt>
                <c:pt idx="10">
                  <c:v>Quintana Roo</c:v>
                </c:pt>
                <c:pt idx="11">
                  <c:v>Baja California</c:v>
                </c:pt>
                <c:pt idx="12">
                  <c:v>Sonora</c:v>
                </c:pt>
                <c:pt idx="13">
                  <c:v>Guerrero</c:v>
                </c:pt>
                <c:pt idx="14">
                  <c:v>MEDIA NACIONAL</c:v>
                </c:pt>
                <c:pt idx="15">
                  <c:v>Tamaulipas</c:v>
                </c:pt>
                <c:pt idx="16">
                  <c:v>Jalisco</c:v>
                </c:pt>
                <c:pt idx="17">
                  <c:v>Nuevo León</c:v>
                </c:pt>
                <c:pt idx="18">
                  <c:v>Baja California Sur</c:v>
                </c:pt>
                <c:pt idx="19">
                  <c:v>Oaxaca</c:v>
                </c:pt>
                <c:pt idx="20">
                  <c:v>Zacatecas</c:v>
                </c:pt>
                <c:pt idx="21">
                  <c:v>San Luis Potosí</c:v>
                </c:pt>
                <c:pt idx="22">
                  <c:v>Campeche</c:v>
                </c:pt>
                <c:pt idx="23">
                  <c:v>MICHOACÁN</c:v>
                </c:pt>
                <c:pt idx="24">
                  <c:v>Aguascalientes</c:v>
                </c:pt>
                <c:pt idx="25">
                  <c:v>Coahuila</c:v>
                </c:pt>
                <c:pt idx="26">
                  <c:v>Yucatán</c:v>
                </c:pt>
                <c:pt idx="27">
                  <c:v>Durango</c:v>
                </c:pt>
                <c:pt idx="28">
                  <c:v>Colima</c:v>
                </c:pt>
                <c:pt idx="29">
                  <c:v>Chiapas</c:v>
                </c:pt>
                <c:pt idx="30">
                  <c:v>Sinaloa</c:v>
                </c:pt>
                <c:pt idx="31">
                  <c:v>Chihuahua</c:v>
                </c:pt>
                <c:pt idx="32">
                  <c:v>Nayarit</c:v>
                </c:pt>
              </c:strCache>
            </c:strRef>
          </c:cat>
          <c:val>
            <c:numRef>
              <c:f>'[Percepcion localidad o colonia.xlsx]Hoja1'!$G$3:$G$35</c:f>
              <c:numCache>
                <c:formatCode>General</c:formatCode>
                <c:ptCount val="33"/>
                <c:pt idx="0">
                  <c:v>65.400000000000006</c:v>
                </c:pt>
                <c:pt idx="1">
                  <c:v>61.4</c:v>
                </c:pt>
                <c:pt idx="2">
                  <c:v>53.7</c:v>
                </c:pt>
                <c:pt idx="3">
                  <c:v>49.7</c:v>
                </c:pt>
                <c:pt idx="4">
                  <c:v>48.5</c:v>
                </c:pt>
                <c:pt idx="5">
                  <c:v>46.8</c:v>
                </c:pt>
                <c:pt idx="6">
                  <c:v>43.2</c:v>
                </c:pt>
                <c:pt idx="7">
                  <c:v>42.8</c:v>
                </c:pt>
                <c:pt idx="8">
                  <c:v>42.7</c:v>
                </c:pt>
                <c:pt idx="9">
                  <c:v>42.2</c:v>
                </c:pt>
                <c:pt idx="10">
                  <c:v>42.1</c:v>
                </c:pt>
                <c:pt idx="11">
                  <c:v>41.5</c:v>
                </c:pt>
                <c:pt idx="12">
                  <c:v>41.1</c:v>
                </c:pt>
                <c:pt idx="13">
                  <c:v>40.5</c:v>
                </c:pt>
                <c:pt idx="14">
                  <c:v>40.300000000000004</c:v>
                </c:pt>
                <c:pt idx="15">
                  <c:v>40</c:v>
                </c:pt>
                <c:pt idx="16">
                  <c:v>39.5</c:v>
                </c:pt>
                <c:pt idx="17">
                  <c:v>39.1</c:v>
                </c:pt>
                <c:pt idx="18">
                  <c:v>38.4</c:v>
                </c:pt>
                <c:pt idx="19">
                  <c:v>37.800000000000004</c:v>
                </c:pt>
                <c:pt idx="20">
                  <c:v>37.4</c:v>
                </c:pt>
                <c:pt idx="21">
                  <c:v>36.6</c:v>
                </c:pt>
                <c:pt idx="22">
                  <c:v>36.200000000000003</c:v>
                </c:pt>
                <c:pt idx="23">
                  <c:v>35.9</c:v>
                </c:pt>
                <c:pt idx="24">
                  <c:v>35.1</c:v>
                </c:pt>
                <c:pt idx="25">
                  <c:v>33.9</c:v>
                </c:pt>
                <c:pt idx="26">
                  <c:v>33.300000000000004</c:v>
                </c:pt>
                <c:pt idx="27">
                  <c:v>33</c:v>
                </c:pt>
                <c:pt idx="28">
                  <c:v>32.800000000000004</c:v>
                </c:pt>
                <c:pt idx="29">
                  <c:v>32</c:v>
                </c:pt>
                <c:pt idx="30">
                  <c:v>31.3</c:v>
                </c:pt>
                <c:pt idx="31">
                  <c:v>28.1</c:v>
                </c:pt>
                <c:pt idx="32">
                  <c:v>26.3</c:v>
                </c:pt>
              </c:numCache>
            </c:numRef>
          </c:val>
          <c:extLst xmlns:c16r2="http://schemas.microsoft.com/office/drawing/2015/06/chart">
            <c:ext xmlns:c16="http://schemas.microsoft.com/office/drawing/2014/chart" uri="{C3380CC4-5D6E-409C-BE32-E72D297353CC}">
              <c16:uniqueId val="{00000004-18C2-49AE-BCE9-BD5D4225B590}"/>
            </c:ext>
          </c:extLst>
        </c:ser>
        <c:dLbls>
          <c:showLegendKey val="0"/>
          <c:showVal val="0"/>
          <c:showCatName val="0"/>
          <c:showSerName val="0"/>
          <c:showPercent val="0"/>
          <c:showBubbleSize val="0"/>
        </c:dLbls>
        <c:gapWidth val="100"/>
        <c:axId val="664598984"/>
        <c:axId val="664601728"/>
      </c:barChart>
      <c:catAx>
        <c:axId val="664598984"/>
        <c:scaling>
          <c:orientation val="maxMin"/>
        </c:scaling>
        <c:delete val="0"/>
        <c:axPos val="l"/>
        <c:numFmt formatCode="General" sourceLinked="0"/>
        <c:majorTickMark val="none"/>
        <c:minorTickMark val="none"/>
        <c:tickLblPos val="nextTo"/>
        <c:txPr>
          <a:bodyPr/>
          <a:lstStyle/>
          <a:p>
            <a:pPr>
              <a:defRPr sz="500" baseline="0">
                <a:latin typeface="Arial" panose="020B0604020202020204" pitchFamily="34" charset="0"/>
                <a:cs typeface="Arial" panose="020B0604020202020204" pitchFamily="34" charset="0"/>
              </a:defRPr>
            </a:pPr>
            <a:endParaRPr lang="es-ES"/>
          </a:p>
        </c:txPr>
        <c:crossAx val="664601728"/>
        <c:crosses val="autoZero"/>
        <c:auto val="1"/>
        <c:lblAlgn val="ctr"/>
        <c:lblOffset val="100"/>
        <c:noMultiLvlLbl val="0"/>
      </c:catAx>
      <c:valAx>
        <c:axId val="664601728"/>
        <c:scaling>
          <c:orientation val="minMax"/>
        </c:scaling>
        <c:delete val="1"/>
        <c:axPos val="t"/>
        <c:numFmt formatCode="General" sourceLinked="1"/>
        <c:majorTickMark val="out"/>
        <c:minorTickMark val="none"/>
        <c:tickLblPos val="none"/>
        <c:crossAx val="664598984"/>
        <c:crosses val="autoZero"/>
        <c:crossBetween val="between"/>
      </c:valAx>
    </c:plotArea>
    <c:plotVisOnly val="1"/>
    <c:dispBlanksAs val="gap"/>
    <c:showDLblsOverMax val="0"/>
  </c:chart>
  <c:txPr>
    <a:bodyPr/>
    <a:lstStyle/>
    <a:p>
      <a:pPr>
        <a:defRPr sz="1000">
          <a:latin typeface="GalanoGrotesque-Regular" pitchFamily="50" charset="0"/>
        </a:defRPr>
      </a:pPr>
      <a:endParaRPr lang="es-E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'[CPLADE.xlsx]Grafica 2.5'!$A$2</c:f>
              <c:strCache>
                <c:ptCount val="1"/>
                <c:pt idx="0">
                  <c:v>Michoacán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'[CPLADE.xlsx]Grafica 2.5'!$B$1:$F$1</c:f>
              <c:numCache>
                <c:formatCode>General</c:formatCode>
                <c:ptCount val="5"/>
                <c:pt idx="0">
                  <c:v>2010</c:v>
                </c:pt>
                <c:pt idx="1">
                  <c:v>2011</c:v>
                </c:pt>
                <c:pt idx="2">
                  <c:v>2012</c:v>
                </c:pt>
                <c:pt idx="3">
                  <c:v>2013</c:v>
                </c:pt>
                <c:pt idx="4">
                  <c:v>2014</c:v>
                </c:pt>
              </c:numCache>
            </c:numRef>
          </c:cat>
          <c:val>
            <c:numRef>
              <c:f>'[CPLADE.xlsx]Grafica 2.5'!$B$2:$F$2</c:f>
              <c:numCache>
                <c:formatCode>General</c:formatCode>
                <c:ptCount val="5"/>
                <c:pt idx="0">
                  <c:v>94.8</c:v>
                </c:pt>
                <c:pt idx="1">
                  <c:v>92.1</c:v>
                </c:pt>
                <c:pt idx="2" formatCode="#,##0.0">
                  <c:v>94</c:v>
                </c:pt>
                <c:pt idx="3" formatCode="#,##0.0">
                  <c:v>94</c:v>
                </c:pt>
                <c:pt idx="4">
                  <c:v>90.7</c:v>
                </c:pt>
              </c:numCache>
            </c:numRef>
          </c:val>
          <c:smooth val="0"/>
          <c:extLst xmlns:c16r2="http://schemas.microsoft.com/office/drawing/2015/06/chart">
            <c:ext xmlns:c16="http://schemas.microsoft.com/office/drawing/2014/chart" uri="{C3380CC4-5D6E-409C-BE32-E72D297353CC}">
              <c16:uniqueId val="{00000000-703F-4B88-B359-BBFA94DE5FD9}"/>
            </c:ext>
          </c:extLst>
        </c:ser>
        <c:dLbls>
          <c:dLblPos val="t"/>
          <c:showLegendKey val="0"/>
          <c:showVal val="1"/>
          <c:showCatName val="0"/>
          <c:showSerName val="0"/>
          <c:showPercent val="0"/>
          <c:showBubbleSize val="0"/>
        </c:dLbls>
        <c:marker val="1"/>
        <c:smooth val="0"/>
        <c:axId val="664595064"/>
        <c:axId val="664592320"/>
      </c:lineChart>
      <c:catAx>
        <c:axId val="664595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64592320"/>
        <c:crosses val="autoZero"/>
        <c:auto val="1"/>
        <c:lblAlgn val="ctr"/>
        <c:lblOffset val="100"/>
        <c:noMultiLvlLbl val="0"/>
      </c:catAx>
      <c:valAx>
        <c:axId val="664592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Porcentaje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64595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1917532787965"/>
          <c:y val="5.8681393684140437E-2"/>
          <c:w val="0.84758461731793067"/>
          <c:h val="0.70293319571839985"/>
        </c:manualLayout>
      </c:layout>
      <c:barChart>
        <c:barDir val="col"/>
        <c:grouping val="clustered"/>
        <c:varyColors val="0"/>
        <c:ser>
          <c:idx val="0"/>
          <c:order val="0"/>
          <c:tx>
            <c:v>Nacional</c:v>
          </c:tx>
          <c:invertIfNegative val="0"/>
          <c:dLbls>
            <c:dLbl>
              <c:idx val="4"/>
              <c:layout>
                <c:manualLayout>
                  <c:x val="-6.4724919093851136E-3"/>
                  <c:y val="0"/>
                </c:manualLayout>
              </c:layout>
              <c:spPr/>
              <c:txPr>
                <a:bodyPr/>
                <a:lstStyle/>
                <a:p>
                  <a:pPr>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0CA-4AFF-9F5F-26572F061C29}"/>
                </c:ext>
                <c:ext xmlns:c15="http://schemas.microsoft.com/office/drawing/2012/chart" uri="{CE6537A1-D6FC-4f65-9D91-7224C49458BB}"/>
              </c:extLst>
            </c:dLbl>
            <c:dLbl>
              <c:idx val="7"/>
              <c:layout>
                <c:manualLayout>
                  <c:x val="-1.0787486515641776E-2"/>
                  <c:y val="-3.9158082721604277E-3"/>
                </c:manualLayout>
              </c:layout>
              <c:spPr/>
              <c:txPr>
                <a:bodyPr/>
                <a:lstStyle/>
                <a:p>
                  <a:pPr>
                    <a:defRPr/>
                  </a:pPr>
                  <a:endParaRPr lang="es-E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0CA-4AFF-9F5F-26572F061C29}"/>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'[PIBE Y PIB.xls]Página 1'!$A$6:$A$16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'[PIBE Y PIB.xls]Página 1'!$C$6:$C$16</c:f>
              <c:numCache>
                <c:formatCode>#,##0.0</c:formatCode>
                <c:ptCount val="11"/>
                <c:pt idx="0">
                  <c:v>4.2096436885359196</c:v>
                </c:pt>
                <c:pt idx="1">
                  <c:v>3.0741347935776986</c:v>
                </c:pt>
                <c:pt idx="2">
                  <c:v>4.9754877226618106</c:v>
                </c:pt>
                <c:pt idx="3">
                  <c:v>3.224375063689962</c:v>
                </c:pt>
                <c:pt idx="4">
                  <c:v>1.3780749141486268</c:v>
                </c:pt>
                <c:pt idx="5">
                  <c:v>-4.7446651074816515</c:v>
                </c:pt>
                <c:pt idx="6">
                  <c:v>5.1988458551252279</c:v>
                </c:pt>
                <c:pt idx="7">
                  <c:v>3.9201019126574863</c:v>
                </c:pt>
                <c:pt idx="8">
                  <c:v>4.0372698214689535</c:v>
                </c:pt>
                <c:pt idx="9">
                  <c:v>1.3947651096092955</c:v>
                </c:pt>
                <c:pt idx="10">
                  <c:v>2.1611011814676004</c:v>
                </c:pt>
              </c:numCache>
            </c:numRef>
          </c:val>
          <c:extLst xmlns:c16r2="http://schemas.microsoft.com/office/drawing/2015/06/chart">
            <c:ext xmlns:c16="http://schemas.microsoft.com/office/drawing/2014/chart" uri="{C3380CC4-5D6E-409C-BE32-E72D297353CC}">
              <c16:uniqueId val="{00000002-40CA-4AFF-9F5F-26572F061C29}"/>
            </c:ext>
          </c:extLst>
        </c:ser>
        <c:ser>
          <c:idx val="1"/>
          <c:order val="1"/>
          <c:tx>
            <c:v>Michoacán</c:v>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'[PIBE Y PIB.xls]Página 1'!$A$6:$A$16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'[PIBE Y PIB.xls]Página 1'!$E$6:$E$16</c:f>
              <c:numCache>
                <c:formatCode>0.0</c:formatCode>
                <c:ptCount val="11"/>
                <c:pt idx="0">
                  <c:v>2.8595536335540146</c:v>
                </c:pt>
                <c:pt idx="1">
                  <c:v>1.7178254316809074</c:v>
                </c:pt>
                <c:pt idx="2">
                  <c:v>3.8671355684075479</c:v>
                </c:pt>
                <c:pt idx="3">
                  <c:v>4.9548093622246512</c:v>
                </c:pt>
                <c:pt idx="4">
                  <c:v>1.7204268405261587</c:v>
                </c:pt>
                <c:pt idx="5">
                  <c:v>-6.1381098390395579</c:v>
                </c:pt>
                <c:pt idx="6">
                  <c:v>4.6380352412994483</c:v>
                </c:pt>
                <c:pt idx="7">
                  <c:v>3.8514450672729339</c:v>
                </c:pt>
                <c:pt idx="8">
                  <c:v>2.1877893543403673</c:v>
                </c:pt>
                <c:pt idx="9">
                  <c:v>2.0201515284929599</c:v>
                </c:pt>
                <c:pt idx="10">
                  <c:v>6.023635016830255</c:v>
                </c:pt>
              </c:numCache>
            </c:numRef>
          </c:val>
          <c:extLst xmlns:c16r2="http://schemas.microsoft.com/office/drawing/2015/06/chart">
            <c:ext xmlns:c16="http://schemas.microsoft.com/office/drawing/2014/chart" uri="{C3380CC4-5D6E-409C-BE32-E72D297353CC}">
              <c16:uniqueId val="{00000003-40CA-4AFF-9F5F-26572F061C29}"/>
            </c:ext>
          </c:extLst>
        </c:ser>
        <c:dLbls>
          <c:showLegendKey val="0"/>
          <c:showVal val="0"/>
          <c:showCatName val="0"/>
          <c:showSerName val="0"/>
          <c:showPercent val="0"/>
          <c:showBubbleSize val="0"/>
        </c:dLbls>
        <c:gapWidth val="150"/>
        <c:axId val="664602904"/>
        <c:axId val="664595456"/>
      </c:barChart>
      <c:catAx>
        <c:axId val="664602904"/>
        <c:scaling>
          <c:orientation val="minMax"/>
        </c:scaling>
        <c:delete val="0"/>
        <c:axPos val="b"/>
        <c:numFmt formatCode="General" sourceLinked="1"/>
        <c:majorTickMark val="none"/>
        <c:minorTickMark val="none"/>
        <c:tickLblPos val="nextTo"/>
        <c:crossAx val="664595456"/>
        <c:crosses val="autoZero"/>
        <c:auto val="1"/>
        <c:lblAlgn val="ctr"/>
        <c:lblOffset val="100"/>
        <c:noMultiLvlLbl val="0"/>
      </c:catAx>
      <c:valAx>
        <c:axId val="664595456"/>
        <c:scaling>
          <c:orientation val="minMax"/>
        </c:scaling>
        <c:delete val="0"/>
        <c:axPos val="l"/>
        <c:majorGridlines/>
        <c:numFmt formatCode="#,##0.0" sourceLinked="1"/>
        <c:majorTickMark val="none"/>
        <c:minorTickMark val="none"/>
        <c:tickLblPos val="nextTo"/>
        <c:crossAx val="664602904"/>
        <c:crosses val="autoZero"/>
        <c:crossBetween val="between"/>
      </c:valAx>
    </c:plotArea>
    <c:legend>
      <c:legendPos val="r"/>
      <c:layout>
        <c:manualLayout>
          <c:xMode val="edge"/>
          <c:yMode val="edge"/>
          <c:x val="0.26704768498711612"/>
          <c:y val="0.68726917609875038"/>
          <c:w val="0.63816987103074163"/>
          <c:h val="0.23903388480934265"/>
        </c:manualLayout>
      </c:layout>
      <c:overlay val="0"/>
    </c:legend>
    <c:plotVisOnly val="1"/>
    <c:dispBlanksAs val="gap"/>
    <c:showDLblsOverMax val="0"/>
  </c:chart>
  <c:txPr>
    <a:bodyPr/>
    <a:lstStyle/>
    <a:p>
      <a:pPr>
        <a:defRPr sz="700" baseline="0"/>
      </a:pPr>
      <a:endParaRPr lang="es-E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'Grafica 4.6'!$B$2</c:f>
              <c:strCache>
                <c:ptCount val="1"/>
                <c:pt idx="0">
                  <c:v>2015</c:v>
                </c:pt>
              </c:strCache>
            </c:strRef>
          </c:tx>
          <c:spPr>
            <a:solidFill>
              <a:schemeClr val="accent1"/>
            </a:solidFill>
            <a:ln>
              <a:noFill/>
            </a:ln>
            <a:effectLst/>
          </c:spPr>
          <c:invertIfNegative val="0"/>
          <c:dLbls>
            <c:dLbl>
              <c:idx val="0"/>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67D-4BB2-A38A-68F6FE05BB02}"/>
                </c:ext>
                <c:ext xmlns:c15="http://schemas.microsoft.com/office/drawing/2012/chart" uri="{CE6537A1-D6FC-4f65-9D91-7224C49458BB}"/>
              </c:extLst>
            </c:dLbl>
            <c:dLbl>
              <c:idx val="11"/>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67D-4BB2-A38A-68F6FE05BB02}"/>
                </c:ext>
                <c:ext xmlns:c15="http://schemas.microsoft.com/office/drawing/2012/chart" uri="{CE6537A1-D6FC-4f65-9D91-7224C49458BB}"/>
              </c:extLst>
            </c:dLbl>
            <c:dLbl>
              <c:idx val="22"/>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67D-4BB2-A38A-68F6FE05BB02}"/>
                </c:ext>
                <c:ext xmlns:c15="http://schemas.microsoft.com/office/drawing/2012/chart" uri="{CE6537A1-D6FC-4f65-9D91-7224C49458BB}"/>
              </c:extLst>
            </c:dLbl>
            <c:dLbl>
              <c:idx val="32"/>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67D-4BB2-A38A-68F6FE05BB0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4.6'!$A$3:$A$35</c:f>
              <c:strCache>
                <c:ptCount val="33"/>
                <c:pt idx="0">
                  <c:v>Distrito Federal </c:v>
                </c:pt>
                <c:pt idx="1">
                  <c:v>México</c:v>
                </c:pt>
                <c:pt idx="2">
                  <c:v>Nuevo León</c:v>
                </c:pt>
                <c:pt idx="3">
                  <c:v>Jalisco</c:v>
                </c:pt>
                <c:pt idx="4">
                  <c:v>Chihuahua</c:v>
                </c:pt>
                <c:pt idx="5">
                  <c:v>San Luis Potosí</c:v>
                </c:pt>
                <c:pt idx="6">
                  <c:v>Veracruz</c:v>
                </c:pt>
                <c:pt idx="7">
                  <c:v>Guanajuato</c:v>
                </c:pt>
                <c:pt idx="8">
                  <c:v>Querétaro de Arteaga</c:v>
                </c:pt>
                <c:pt idx="9">
                  <c:v>Coahuila de Zaragoza</c:v>
                </c:pt>
                <c:pt idx="10">
                  <c:v>Baja California </c:v>
                </c:pt>
                <c:pt idx="11">
                  <c:v>MEDIA NACIONAL</c:v>
                </c:pt>
                <c:pt idx="12">
                  <c:v>Tamaulipas</c:v>
                </c:pt>
                <c:pt idx="13">
                  <c:v>Puebla</c:v>
                </c:pt>
                <c:pt idx="14">
                  <c:v>Aguascalientes</c:v>
                </c:pt>
                <c:pt idx="15">
                  <c:v>Sonora</c:v>
                </c:pt>
                <c:pt idx="16">
                  <c:v>Tabasco</c:v>
                </c:pt>
                <c:pt idx="17">
                  <c:v>Sinaloa</c:v>
                </c:pt>
                <c:pt idx="18">
                  <c:v>Baja California Sur</c:v>
                </c:pt>
                <c:pt idx="19">
                  <c:v>Campeche</c:v>
                </c:pt>
                <c:pt idx="20">
                  <c:v>Morelos</c:v>
                </c:pt>
                <c:pt idx="21">
                  <c:v>Hidalgo</c:v>
                </c:pt>
                <c:pt idx="22">
                  <c:v>Michoacán</c:v>
                </c:pt>
                <c:pt idx="23">
                  <c:v>Quintana Roo</c:v>
                </c:pt>
                <c:pt idx="24">
                  <c:v>Oaxaca</c:v>
                </c:pt>
                <c:pt idx="25">
                  <c:v>Durango</c:v>
                </c:pt>
                <c:pt idx="26">
                  <c:v>Yucatan</c:v>
                </c:pt>
                <c:pt idx="27">
                  <c:v>Guerrero</c:v>
                </c:pt>
                <c:pt idx="28">
                  <c:v>Colima</c:v>
                </c:pt>
                <c:pt idx="29">
                  <c:v>Chiapas</c:v>
                </c:pt>
                <c:pt idx="30">
                  <c:v>Tlaxcala</c:v>
                </c:pt>
                <c:pt idx="31">
                  <c:v>Nayarit</c:v>
                </c:pt>
                <c:pt idx="32">
                  <c:v>Zacatecas</c:v>
                </c:pt>
              </c:strCache>
            </c:strRef>
          </c:cat>
          <c:val>
            <c:numRef>
              <c:f>'Grafica 4.6'!$B$3:$B$35</c:f>
              <c:numCache>
                <c:formatCode>0.00</c:formatCode>
                <c:ptCount val="33"/>
                <c:pt idx="0" formatCode="0">
                  <c:v>4804</c:v>
                </c:pt>
                <c:pt idx="1">
                  <c:v>2665</c:v>
                </c:pt>
                <c:pt idx="2">
                  <c:v>2633</c:v>
                </c:pt>
                <c:pt idx="3">
                  <c:v>2484</c:v>
                </c:pt>
                <c:pt idx="4">
                  <c:v>2119</c:v>
                </c:pt>
                <c:pt idx="5">
                  <c:v>1584</c:v>
                </c:pt>
                <c:pt idx="6">
                  <c:v>1505</c:v>
                </c:pt>
                <c:pt idx="7">
                  <c:v>1355</c:v>
                </c:pt>
                <c:pt idx="8">
                  <c:v>1021</c:v>
                </c:pt>
                <c:pt idx="9">
                  <c:v>1000</c:v>
                </c:pt>
                <c:pt idx="10" formatCode="General">
                  <c:v>920.5</c:v>
                </c:pt>
                <c:pt idx="11" formatCode="#,##0">
                  <c:v>886.9</c:v>
                </c:pt>
                <c:pt idx="12" formatCode="#,##0">
                  <c:v>847.4</c:v>
                </c:pt>
                <c:pt idx="13" formatCode="#,##0">
                  <c:v>565.9</c:v>
                </c:pt>
                <c:pt idx="14" formatCode="#,##0">
                  <c:v>507.2</c:v>
                </c:pt>
                <c:pt idx="15" formatCode="#,##0">
                  <c:v>498.2</c:v>
                </c:pt>
                <c:pt idx="16" formatCode="#,##0">
                  <c:v>467.2</c:v>
                </c:pt>
                <c:pt idx="17" formatCode="#,##0">
                  <c:v>402.3</c:v>
                </c:pt>
                <c:pt idx="18" formatCode="#,##0">
                  <c:v>330.4</c:v>
                </c:pt>
                <c:pt idx="19" formatCode="#,##0">
                  <c:v>320.10000000000002</c:v>
                </c:pt>
                <c:pt idx="20" formatCode="#,##0">
                  <c:v>314.5</c:v>
                </c:pt>
                <c:pt idx="21" formatCode="#,##0">
                  <c:v>307.10000000000002</c:v>
                </c:pt>
                <c:pt idx="22" formatCode="#,##0">
                  <c:v>286.89999999999998</c:v>
                </c:pt>
                <c:pt idx="23" formatCode="#,##0">
                  <c:v>284.89999999999998</c:v>
                </c:pt>
                <c:pt idx="24" formatCode="#,##0">
                  <c:v>180.9</c:v>
                </c:pt>
                <c:pt idx="25" formatCode="#,##0">
                  <c:v>175.7</c:v>
                </c:pt>
                <c:pt idx="26" formatCode="#,##0">
                  <c:v>142.6</c:v>
                </c:pt>
                <c:pt idx="27" formatCode="#,##0">
                  <c:v>140.1</c:v>
                </c:pt>
                <c:pt idx="28" formatCode="#,##0">
                  <c:v>134.9</c:v>
                </c:pt>
                <c:pt idx="29" formatCode="#,##0">
                  <c:v>120.9</c:v>
                </c:pt>
                <c:pt idx="30" formatCode="#,##0">
                  <c:v>105.1</c:v>
                </c:pt>
                <c:pt idx="31" formatCode="#,##0">
                  <c:v>87.6</c:v>
                </c:pt>
                <c:pt idx="32" formatCode="#,##0">
                  <c:v>66.599999999999994</c:v>
                </c:pt>
              </c:numCache>
            </c:numRef>
          </c:val>
          <c:extLst xmlns:c16r2="http://schemas.microsoft.com/office/drawing/2015/06/chart">
            <c:ext xmlns:c16="http://schemas.microsoft.com/office/drawing/2014/chart" uri="{C3380CC4-5D6E-409C-BE32-E72D297353CC}">
              <c16:uniqueId val="{00000004-E67D-4BB2-A38A-68F6FE05BB02}"/>
            </c:ext>
          </c:extLst>
        </c:ser>
        <c:dLbls>
          <c:showLegendKey val="0"/>
          <c:showVal val="0"/>
          <c:showCatName val="0"/>
          <c:showSerName val="0"/>
          <c:showPercent val="0"/>
          <c:showBubbleSize val="0"/>
        </c:dLbls>
        <c:gapWidth val="182"/>
        <c:axId val="664602120"/>
        <c:axId val="664595848"/>
      </c:barChart>
      <c:catAx>
        <c:axId val="664602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ES"/>
          </a:p>
        </c:txPr>
        <c:crossAx val="664595848"/>
        <c:crosses val="autoZero"/>
        <c:auto val="1"/>
        <c:lblAlgn val="ctr"/>
        <c:lblOffset val="100"/>
        <c:noMultiLvlLbl val="0"/>
      </c:catAx>
      <c:valAx>
        <c:axId val="664595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s-ES"/>
          </a:p>
        </c:txPr>
        <c:crossAx val="664602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baseline="0"/>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spPr>
            <a:solidFill>
              <a:schemeClr val="accent3"/>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0-3C17-42B0-AF84-5530EBF2A1F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1-3C17-42B0-AF84-5530EBF2A1F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2-3C17-42B0-AF84-5530EBF2A1F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3-3C17-42B0-AF84-5530EBF2A1F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4-3C17-42B0-AF84-5530EBF2A1F8}"/>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5-3C17-42B0-AF84-5530EBF2A1F8}"/>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6-3C17-42B0-AF84-5530EBF2A1F8}"/>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7-3C17-42B0-AF84-5530EBF2A1F8}"/>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08-3C17-42B0-AF84-5530EBF2A1F8}"/>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9-3C17-42B0-AF84-5530EBF2A1F8}"/>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A-3C17-42B0-AF84-5530EBF2A1F8}"/>
                </c:ext>
                <c:ext xmlns:c15="http://schemas.microsoft.com/office/drawing/2012/chart" uri="{CE6537A1-D6FC-4f65-9D91-7224C49458BB}"/>
              </c:extLst>
            </c:dLbl>
            <c:dLbl>
              <c:idx val="13"/>
              <c:delete val="1"/>
              <c:extLst xmlns:c16r2="http://schemas.microsoft.com/office/drawing/2015/06/chart">
                <c:ext xmlns:c16="http://schemas.microsoft.com/office/drawing/2014/chart" uri="{C3380CC4-5D6E-409C-BE32-E72D297353CC}">
                  <c16:uniqueId val="{0000000B-3C17-42B0-AF84-5530EBF2A1F8}"/>
                </c:ext>
                <c:ext xmlns:c15="http://schemas.microsoft.com/office/drawing/2012/chart" uri="{CE6537A1-D6FC-4f65-9D91-7224C49458BB}"/>
              </c:extLst>
            </c:dLbl>
            <c:dLbl>
              <c:idx val="14"/>
              <c:delete val="1"/>
              <c:extLst xmlns:c16r2="http://schemas.microsoft.com/office/drawing/2015/06/chart">
                <c:ext xmlns:c16="http://schemas.microsoft.com/office/drawing/2014/chart" uri="{C3380CC4-5D6E-409C-BE32-E72D297353CC}">
                  <c16:uniqueId val="{0000000C-3C17-42B0-AF84-5530EBF2A1F8}"/>
                </c:ext>
                <c:ext xmlns:c15="http://schemas.microsoft.com/office/drawing/2012/chart" uri="{CE6537A1-D6FC-4f65-9D91-7224C49458BB}"/>
              </c:extLst>
            </c:dLbl>
            <c:dLbl>
              <c:idx val="15"/>
              <c:delete val="1"/>
              <c:extLst xmlns:c16r2="http://schemas.microsoft.com/office/drawing/2015/06/chart">
                <c:ext xmlns:c16="http://schemas.microsoft.com/office/drawing/2014/chart" uri="{C3380CC4-5D6E-409C-BE32-E72D297353CC}">
                  <c16:uniqueId val="{0000000D-3C17-42B0-AF84-5530EBF2A1F8}"/>
                </c:ext>
                <c:ext xmlns:c15="http://schemas.microsoft.com/office/drawing/2012/chart" uri="{CE6537A1-D6FC-4f65-9D91-7224C49458BB}"/>
              </c:extLst>
            </c:dLbl>
            <c:dLbl>
              <c:idx val="16"/>
              <c:delete val="1"/>
              <c:extLst xmlns:c16r2="http://schemas.microsoft.com/office/drawing/2015/06/chart">
                <c:ext xmlns:c16="http://schemas.microsoft.com/office/drawing/2014/chart" uri="{C3380CC4-5D6E-409C-BE32-E72D297353CC}">
                  <c16:uniqueId val="{0000000E-3C17-42B0-AF84-5530EBF2A1F8}"/>
                </c:ext>
                <c:ext xmlns:c15="http://schemas.microsoft.com/office/drawing/2012/chart" uri="{CE6537A1-D6FC-4f65-9D91-7224C49458BB}"/>
              </c:extLst>
            </c:dLbl>
            <c:dLbl>
              <c:idx val="18"/>
              <c:delete val="1"/>
              <c:extLst xmlns:c16r2="http://schemas.microsoft.com/office/drawing/2015/06/chart">
                <c:ext xmlns:c16="http://schemas.microsoft.com/office/drawing/2014/chart" uri="{C3380CC4-5D6E-409C-BE32-E72D297353CC}">
                  <c16:uniqueId val="{0000000F-3C17-42B0-AF84-5530EBF2A1F8}"/>
                </c:ext>
                <c:ext xmlns:c15="http://schemas.microsoft.com/office/drawing/2012/chart" uri="{CE6537A1-D6FC-4f65-9D91-7224C49458BB}"/>
              </c:extLst>
            </c:dLbl>
            <c:dLbl>
              <c:idx val="19"/>
              <c:delete val="1"/>
              <c:extLst xmlns:c16r2="http://schemas.microsoft.com/office/drawing/2015/06/chart">
                <c:ext xmlns:c16="http://schemas.microsoft.com/office/drawing/2014/chart" uri="{C3380CC4-5D6E-409C-BE32-E72D297353CC}">
                  <c16:uniqueId val="{00000010-3C17-42B0-AF84-5530EBF2A1F8}"/>
                </c:ext>
                <c:ext xmlns:c15="http://schemas.microsoft.com/office/drawing/2012/chart" uri="{CE6537A1-D6FC-4f65-9D91-7224C49458BB}"/>
              </c:extLst>
            </c:dLbl>
            <c:dLbl>
              <c:idx val="20"/>
              <c:delete val="1"/>
              <c:extLst xmlns:c16r2="http://schemas.microsoft.com/office/drawing/2015/06/chart">
                <c:ext xmlns:c16="http://schemas.microsoft.com/office/drawing/2014/chart" uri="{C3380CC4-5D6E-409C-BE32-E72D297353CC}">
                  <c16:uniqueId val="{00000011-3C17-42B0-AF84-5530EBF2A1F8}"/>
                </c:ext>
                <c:ext xmlns:c15="http://schemas.microsoft.com/office/drawing/2012/chart" uri="{CE6537A1-D6FC-4f65-9D91-7224C49458BB}"/>
              </c:extLst>
            </c:dLbl>
            <c:dLbl>
              <c:idx val="21"/>
              <c:delete val="1"/>
              <c:extLst xmlns:c16r2="http://schemas.microsoft.com/office/drawing/2015/06/chart">
                <c:ext xmlns:c16="http://schemas.microsoft.com/office/drawing/2014/chart" uri="{C3380CC4-5D6E-409C-BE32-E72D297353CC}">
                  <c16:uniqueId val="{00000012-3C17-42B0-AF84-5530EBF2A1F8}"/>
                </c:ext>
                <c:ext xmlns:c15="http://schemas.microsoft.com/office/drawing/2012/chart" uri="{CE6537A1-D6FC-4f65-9D91-7224C49458BB}"/>
              </c:extLst>
            </c:dLbl>
            <c:dLbl>
              <c:idx val="22"/>
              <c:delete val="1"/>
              <c:extLst xmlns:c16r2="http://schemas.microsoft.com/office/drawing/2015/06/chart">
                <c:ext xmlns:c16="http://schemas.microsoft.com/office/drawing/2014/chart" uri="{C3380CC4-5D6E-409C-BE32-E72D297353CC}">
                  <c16:uniqueId val="{00000013-3C17-42B0-AF84-5530EBF2A1F8}"/>
                </c:ext>
                <c:ext xmlns:c15="http://schemas.microsoft.com/office/drawing/2012/chart" uri="{CE6537A1-D6FC-4f65-9D91-7224C49458BB}"/>
              </c:extLst>
            </c:dLbl>
            <c:dLbl>
              <c:idx val="23"/>
              <c:delete val="1"/>
              <c:extLst xmlns:c16r2="http://schemas.microsoft.com/office/drawing/2015/06/chart">
                <c:ext xmlns:c16="http://schemas.microsoft.com/office/drawing/2014/chart" uri="{C3380CC4-5D6E-409C-BE32-E72D297353CC}">
                  <c16:uniqueId val="{00000014-3C17-42B0-AF84-5530EBF2A1F8}"/>
                </c:ext>
                <c:ext xmlns:c15="http://schemas.microsoft.com/office/drawing/2012/chart" uri="{CE6537A1-D6FC-4f65-9D91-7224C49458BB}"/>
              </c:extLst>
            </c:dLbl>
            <c:dLbl>
              <c:idx val="24"/>
              <c:delete val="1"/>
              <c:extLst xmlns:c16r2="http://schemas.microsoft.com/office/drawing/2015/06/chart">
                <c:ext xmlns:c16="http://schemas.microsoft.com/office/drawing/2014/chart" uri="{C3380CC4-5D6E-409C-BE32-E72D297353CC}">
                  <c16:uniqueId val="{00000015-3C17-42B0-AF84-5530EBF2A1F8}"/>
                </c:ext>
                <c:ext xmlns:c15="http://schemas.microsoft.com/office/drawing/2012/chart" uri="{CE6537A1-D6FC-4f65-9D91-7224C49458BB}"/>
              </c:extLst>
            </c:dLbl>
            <c:dLbl>
              <c:idx val="25"/>
              <c:delete val="1"/>
              <c:extLst xmlns:c16r2="http://schemas.microsoft.com/office/drawing/2015/06/chart">
                <c:ext xmlns:c16="http://schemas.microsoft.com/office/drawing/2014/chart" uri="{C3380CC4-5D6E-409C-BE32-E72D297353CC}">
                  <c16:uniqueId val="{00000016-3C17-42B0-AF84-5530EBF2A1F8}"/>
                </c:ext>
                <c:ext xmlns:c15="http://schemas.microsoft.com/office/drawing/2012/chart" uri="{CE6537A1-D6FC-4f65-9D91-7224C49458BB}"/>
              </c:extLst>
            </c:dLbl>
            <c:dLbl>
              <c:idx val="26"/>
              <c:delete val="1"/>
              <c:extLst xmlns:c16r2="http://schemas.microsoft.com/office/drawing/2015/06/chart">
                <c:ext xmlns:c16="http://schemas.microsoft.com/office/drawing/2014/chart" uri="{C3380CC4-5D6E-409C-BE32-E72D297353CC}">
                  <c16:uniqueId val="{00000017-3C17-42B0-AF84-5530EBF2A1F8}"/>
                </c:ext>
                <c:ext xmlns:c15="http://schemas.microsoft.com/office/drawing/2012/chart" uri="{CE6537A1-D6FC-4f65-9D91-7224C49458BB}"/>
              </c:extLst>
            </c:dLbl>
            <c:dLbl>
              <c:idx val="27"/>
              <c:delete val="1"/>
              <c:extLst xmlns:c16r2="http://schemas.microsoft.com/office/drawing/2015/06/chart">
                <c:ext xmlns:c16="http://schemas.microsoft.com/office/drawing/2014/chart" uri="{C3380CC4-5D6E-409C-BE32-E72D297353CC}">
                  <c16:uniqueId val="{00000018-3C17-42B0-AF84-5530EBF2A1F8}"/>
                </c:ext>
                <c:ext xmlns:c15="http://schemas.microsoft.com/office/drawing/2012/chart" uri="{CE6537A1-D6FC-4f65-9D91-7224C49458BB}"/>
              </c:extLst>
            </c:dLbl>
            <c:dLbl>
              <c:idx val="28"/>
              <c:delete val="1"/>
              <c:extLst xmlns:c16r2="http://schemas.microsoft.com/office/drawing/2015/06/chart">
                <c:ext xmlns:c16="http://schemas.microsoft.com/office/drawing/2014/chart" uri="{C3380CC4-5D6E-409C-BE32-E72D297353CC}">
                  <c16:uniqueId val="{00000019-3C17-42B0-AF84-5530EBF2A1F8}"/>
                </c:ext>
                <c:ext xmlns:c15="http://schemas.microsoft.com/office/drawing/2012/chart" uri="{CE6537A1-D6FC-4f65-9D91-7224C49458BB}"/>
              </c:extLst>
            </c:dLbl>
            <c:dLbl>
              <c:idx val="29"/>
              <c:delete val="1"/>
              <c:extLst xmlns:c16r2="http://schemas.microsoft.com/office/drawing/2015/06/chart">
                <c:ext xmlns:c16="http://schemas.microsoft.com/office/drawing/2014/chart" uri="{C3380CC4-5D6E-409C-BE32-E72D297353CC}">
                  <c16:uniqueId val="{0000001A-3C17-42B0-AF84-5530EBF2A1F8}"/>
                </c:ext>
                <c:ext xmlns:c15="http://schemas.microsoft.com/office/drawing/2012/chart" uri="{CE6537A1-D6FC-4f65-9D91-7224C49458BB}"/>
              </c:extLst>
            </c:dLbl>
            <c:dLbl>
              <c:idx val="30"/>
              <c:delete val="1"/>
              <c:extLst xmlns:c16r2="http://schemas.microsoft.com/office/drawing/2015/06/chart">
                <c:ext xmlns:c16="http://schemas.microsoft.com/office/drawing/2014/chart" uri="{C3380CC4-5D6E-409C-BE32-E72D297353CC}">
                  <c16:uniqueId val="{0000001B-3C17-42B0-AF84-5530EBF2A1F8}"/>
                </c:ext>
                <c:ext xmlns:c15="http://schemas.microsoft.com/office/drawing/2012/chart" uri="{CE6537A1-D6FC-4f65-9D91-7224C49458BB}"/>
              </c:extLst>
            </c:dLbl>
            <c:dLbl>
              <c:idx val="31"/>
              <c:delete val="1"/>
              <c:extLst xmlns:c16r2="http://schemas.microsoft.com/office/drawing/2015/06/chart">
                <c:ext xmlns:c16="http://schemas.microsoft.com/office/drawing/2014/chart" uri="{C3380CC4-5D6E-409C-BE32-E72D297353CC}">
                  <c16:uniqueId val="{0000001C-3C17-42B0-AF84-5530EBF2A1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 4.8'!$A$2:$A$34</c:f>
              <c:strCache>
                <c:ptCount val="33"/>
                <c:pt idx="0">
                  <c:v>Veracruz</c:v>
                </c:pt>
                <c:pt idx="1">
                  <c:v>Chiapas</c:v>
                </c:pt>
                <c:pt idx="2">
                  <c:v>Tabasco</c:v>
                </c:pt>
                <c:pt idx="3">
                  <c:v>Zacatecas</c:v>
                </c:pt>
                <c:pt idx="4">
                  <c:v>Guerrero</c:v>
                </c:pt>
                <c:pt idx="5">
                  <c:v>Morelos</c:v>
                </c:pt>
                <c:pt idx="6">
                  <c:v>Michoacán de Ocampo</c:v>
                </c:pt>
                <c:pt idx="7">
                  <c:v>Oaxaca</c:v>
                </c:pt>
                <c:pt idx="8">
                  <c:v>Querétaro de Arteaga</c:v>
                </c:pt>
                <c:pt idx="9">
                  <c:v>Guanajuato</c:v>
                </c:pt>
                <c:pt idx="10">
                  <c:v>San Luis Potosi</c:v>
                </c:pt>
                <c:pt idx="11">
                  <c:v>Aguascalientes</c:v>
                </c:pt>
                <c:pt idx="12">
                  <c:v>Puebla</c:v>
                </c:pt>
                <c:pt idx="13">
                  <c:v>Coáhuila de Zaragoza</c:v>
                </c:pt>
                <c:pt idx="14">
                  <c:v>Durando</c:v>
                </c:pt>
                <c:pt idx="15">
                  <c:v>Tlaxcala</c:v>
                </c:pt>
                <c:pt idx="16">
                  <c:v>Chihuahua</c:v>
                </c:pt>
                <c:pt idx="17">
                  <c:v>Media Nacional</c:v>
                </c:pt>
                <c:pt idx="18">
                  <c:v>Tamaulipas</c:v>
                </c:pt>
                <c:pt idx="19">
                  <c:v>Hidalgo</c:v>
                </c:pt>
                <c:pt idx="20">
                  <c:v>Sinaloa</c:v>
                </c:pt>
                <c:pt idx="21">
                  <c:v>Distrito Federal</c:v>
                </c:pt>
                <c:pt idx="22">
                  <c:v>México</c:v>
                </c:pt>
                <c:pt idx="23">
                  <c:v>Jalisco</c:v>
                </c:pt>
                <c:pt idx="24">
                  <c:v>Campeche</c:v>
                </c:pt>
                <c:pt idx="25">
                  <c:v>Baja California</c:v>
                </c:pt>
                <c:pt idx="26">
                  <c:v>Nuevo León</c:v>
                </c:pt>
                <c:pt idx="27">
                  <c:v>Sonora</c:v>
                </c:pt>
                <c:pt idx="28">
                  <c:v>Yucatán</c:v>
                </c:pt>
                <c:pt idx="29">
                  <c:v>Nayarit</c:v>
                </c:pt>
                <c:pt idx="30">
                  <c:v>Colima</c:v>
                </c:pt>
                <c:pt idx="31">
                  <c:v>Baja California Sur</c:v>
                </c:pt>
                <c:pt idx="32">
                  <c:v>Quintana Roo</c:v>
                </c:pt>
              </c:strCache>
            </c:strRef>
          </c:cat>
          <c:val>
            <c:numRef>
              <c:f>'Grafica 4.8'!$B$2:$B$34</c:f>
              <c:numCache>
                <c:formatCode>General</c:formatCode>
                <c:ptCount val="33"/>
                <c:pt idx="0">
                  <c:v>40.590000000000003</c:v>
                </c:pt>
                <c:pt idx="1">
                  <c:v>40.64</c:v>
                </c:pt>
                <c:pt idx="2">
                  <c:v>40.880000000000003</c:v>
                </c:pt>
                <c:pt idx="3">
                  <c:v>41.34</c:v>
                </c:pt>
                <c:pt idx="4">
                  <c:v>42.09</c:v>
                </c:pt>
                <c:pt idx="5">
                  <c:v>42.99</c:v>
                </c:pt>
                <c:pt idx="6">
                  <c:v>43.54</c:v>
                </c:pt>
                <c:pt idx="7">
                  <c:v>43.81</c:v>
                </c:pt>
                <c:pt idx="8">
                  <c:v>43.94</c:v>
                </c:pt>
                <c:pt idx="9">
                  <c:v>44.17</c:v>
                </c:pt>
                <c:pt idx="10">
                  <c:v>44.19</c:v>
                </c:pt>
                <c:pt idx="11">
                  <c:v>44.39</c:v>
                </c:pt>
                <c:pt idx="12">
                  <c:v>45.47</c:v>
                </c:pt>
                <c:pt idx="13">
                  <c:v>45.77</c:v>
                </c:pt>
                <c:pt idx="14">
                  <c:v>45.87</c:v>
                </c:pt>
                <c:pt idx="15">
                  <c:v>45.98</c:v>
                </c:pt>
                <c:pt idx="16">
                  <c:v>46.15</c:v>
                </c:pt>
                <c:pt idx="17">
                  <c:v>46.58</c:v>
                </c:pt>
                <c:pt idx="18">
                  <c:v>46.86</c:v>
                </c:pt>
                <c:pt idx="19">
                  <c:v>47.03</c:v>
                </c:pt>
                <c:pt idx="20">
                  <c:v>47.05</c:v>
                </c:pt>
                <c:pt idx="21">
                  <c:v>47.14</c:v>
                </c:pt>
                <c:pt idx="22">
                  <c:v>47.67</c:v>
                </c:pt>
                <c:pt idx="23">
                  <c:v>48.38</c:v>
                </c:pt>
                <c:pt idx="24">
                  <c:v>48.58</c:v>
                </c:pt>
                <c:pt idx="25">
                  <c:v>48.74</c:v>
                </c:pt>
                <c:pt idx="26">
                  <c:v>48.91</c:v>
                </c:pt>
                <c:pt idx="27">
                  <c:v>49.66</c:v>
                </c:pt>
                <c:pt idx="28">
                  <c:v>50.33</c:v>
                </c:pt>
                <c:pt idx="29">
                  <c:v>51.56</c:v>
                </c:pt>
                <c:pt idx="30">
                  <c:v>52.88</c:v>
                </c:pt>
                <c:pt idx="31">
                  <c:v>56.53</c:v>
                </c:pt>
                <c:pt idx="32">
                  <c:v>57.43</c:v>
                </c:pt>
              </c:numCache>
            </c:numRef>
          </c:val>
          <c:extLst xmlns:c16r2="http://schemas.microsoft.com/office/drawing/2015/06/chart">
            <c:ext xmlns:c16="http://schemas.microsoft.com/office/drawing/2014/chart" uri="{C3380CC4-5D6E-409C-BE32-E72D297353CC}">
              <c16:uniqueId val="{0000001D-3C17-42B0-AF84-5530EBF2A1F8}"/>
            </c:ext>
          </c:extLst>
        </c:ser>
        <c:dLbls>
          <c:dLblPos val="outEnd"/>
          <c:showLegendKey val="0"/>
          <c:showVal val="1"/>
          <c:showCatName val="0"/>
          <c:showSerName val="0"/>
          <c:showPercent val="0"/>
          <c:showBubbleSize val="0"/>
        </c:dLbls>
        <c:gapWidth val="182"/>
        <c:axId val="664598592"/>
        <c:axId val="664597416"/>
      </c:barChart>
      <c:catAx>
        <c:axId val="664598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64597416"/>
        <c:crosses val="autoZero"/>
        <c:auto val="1"/>
        <c:lblAlgn val="ctr"/>
        <c:lblOffset val="100"/>
        <c:noMultiLvlLbl val="0"/>
      </c:catAx>
      <c:valAx>
        <c:axId val="664597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64598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8043431244543039E-2"/>
          <c:y val="8.7450808919982512E-2"/>
          <c:w val="0.87347233681242542"/>
          <c:h val="0.55445740904599428"/>
        </c:manualLayout>
      </c:layout>
      <c:barChart>
        <c:barDir val="col"/>
        <c:grouping val="clustered"/>
        <c:varyColors val="0"/>
        <c:ser>
          <c:idx val="0"/>
          <c:order val="0"/>
          <c:tx>
            <c:strRef>
              <c:f>'[Graficas.xlsx]Grafica 5.5'!$A$2</c:f>
              <c:strCache>
                <c:ptCount val="1"/>
                <c:pt idx="0">
                  <c:v>En situación de pobreza</c:v>
                </c:pt>
              </c:strCache>
            </c:strRef>
          </c:tx>
          <c:spPr>
            <a:solidFill>
              <a:schemeClr val="accent1"/>
            </a:solidFill>
            <a:ln>
              <a:noFill/>
            </a:ln>
            <a:effectLst/>
          </c:spPr>
          <c:invertIfNegative val="0"/>
          <c:dLbls>
            <c:spPr>
              <a:noFill/>
              <a:ln>
                <a:noFill/>
              </a:ln>
              <a:effectLst/>
            </c:spPr>
            <c:txPr>
              <a:bodyPr rot="0" vert="horz"/>
              <a:lstStyle/>
              <a:p>
                <a:pPr>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'[Graficas.xlsx]Grafica 5.5'!$B$1:$D$1</c:f>
              <c:numCache>
                <c:formatCode>General</c:formatCode>
                <c:ptCount val="3"/>
                <c:pt idx="0">
                  <c:v>2010</c:v>
                </c:pt>
                <c:pt idx="1">
                  <c:v>2012</c:v>
                </c:pt>
                <c:pt idx="2">
                  <c:v>2014</c:v>
                </c:pt>
              </c:numCache>
            </c:numRef>
          </c:cat>
          <c:val>
            <c:numRef>
              <c:f>'[Graficas.xlsx]Grafica 5.5'!$B$2:$D$2</c:f>
              <c:numCache>
                <c:formatCode>General</c:formatCode>
                <c:ptCount val="3"/>
                <c:pt idx="0">
                  <c:v>59.1</c:v>
                </c:pt>
                <c:pt idx="1">
                  <c:v>57.9</c:v>
                </c:pt>
                <c:pt idx="2">
                  <c:v>63.3</c:v>
                </c:pt>
              </c:numCache>
            </c:numRef>
          </c:val>
          <c:extLst xmlns:c16r2="http://schemas.microsoft.com/office/drawing/2015/06/chart">
            <c:ext xmlns:c16="http://schemas.microsoft.com/office/drawing/2014/chart" uri="{C3380CC4-5D6E-409C-BE32-E72D297353CC}">
              <c16:uniqueId val="{00000000-AF89-4667-9B97-95FBC38F8773}"/>
            </c:ext>
          </c:extLst>
        </c:ser>
        <c:ser>
          <c:idx val="1"/>
          <c:order val="1"/>
          <c:tx>
            <c:strRef>
              <c:f>'[Graficas.xlsx]Grafica 5.5'!$A$3</c:f>
              <c:strCache>
                <c:ptCount val="1"/>
                <c:pt idx="0">
                  <c:v>Con ingreso inferior a la línea de bienestar</c:v>
                </c:pt>
              </c:strCache>
            </c:strRef>
          </c:tx>
          <c:spPr>
            <a:solidFill>
              <a:schemeClr val="accent2"/>
            </a:solidFill>
            <a:ln>
              <a:noFill/>
            </a:ln>
            <a:effectLst/>
          </c:spPr>
          <c:invertIfNegative val="0"/>
          <c:dLbls>
            <c:spPr>
              <a:noFill/>
              <a:ln>
                <a:noFill/>
              </a:ln>
              <a:effectLst/>
            </c:spPr>
            <c:txPr>
              <a:bodyPr rot="0" vert="horz"/>
              <a:lstStyle/>
              <a:p>
                <a:pPr>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'[Graficas.xlsx]Grafica 5.5'!$B$1:$D$1</c:f>
              <c:numCache>
                <c:formatCode>General</c:formatCode>
                <c:ptCount val="3"/>
                <c:pt idx="0">
                  <c:v>2010</c:v>
                </c:pt>
                <c:pt idx="1">
                  <c:v>2012</c:v>
                </c:pt>
                <c:pt idx="2">
                  <c:v>2014</c:v>
                </c:pt>
              </c:numCache>
            </c:numRef>
          </c:cat>
          <c:val>
            <c:numRef>
              <c:f>'[Graficas.xlsx]Grafica 5.5'!$B$3:$D$3</c:f>
              <c:numCache>
                <c:formatCode>General</c:formatCode>
                <c:ptCount val="3"/>
                <c:pt idx="0">
                  <c:v>54.73</c:v>
                </c:pt>
                <c:pt idx="1">
                  <c:v>54.37</c:v>
                </c:pt>
                <c:pt idx="2">
                  <c:v>59.25</c:v>
                </c:pt>
              </c:numCache>
            </c:numRef>
          </c:val>
          <c:extLst xmlns:c16r2="http://schemas.microsoft.com/office/drawing/2015/06/chart">
            <c:ext xmlns:c16="http://schemas.microsoft.com/office/drawing/2014/chart" uri="{C3380CC4-5D6E-409C-BE32-E72D297353CC}">
              <c16:uniqueId val="{00000001-AF89-4667-9B97-95FBC38F8773}"/>
            </c:ext>
          </c:extLst>
        </c:ser>
        <c:dLbls>
          <c:dLblPos val="outEnd"/>
          <c:showLegendKey val="0"/>
          <c:showVal val="1"/>
          <c:showCatName val="0"/>
          <c:showSerName val="0"/>
          <c:showPercent val="0"/>
          <c:showBubbleSize val="0"/>
        </c:dLbls>
        <c:gapWidth val="219"/>
        <c:overlap val="-27"/>
        <c:axId val="664600944"/>
        <c:axId val="664592712"/>
      </c:barChart>
      <c:catAx>
        <c:axId val="66460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ES"/>
          </a:p>
        </c:txPr>
        <c:crossAx val="664592712"/>
        <c:crosses val="autoZero"/>
        <c:auto val="1"/>
        <c:lblAlgn val="ctr"/>
        <c:lblOffset val="100"/>
        <c:noMultiLvlLbl val="0"/>
      </c:catAx>
      <c:valAx>
        <c:axId val="664592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ES"/>
          </a:p>
        </c:txPr>
        <c:crossAx val="664600944"/>
        <c:crosses val="autoZero"/>
        <c:crossBetween val="between"/>
      </c:valAx>
      <c:spPr>
        <a:noFill/>
        <a:ln>
          <a:noFill/>
        </a:ln>
        <a:effectLst/>
      </c:spPr>
    </c:plotArea>
    <c:legend>
      <c:legendPos val="b"/>
      <c:overlay val="0"/>
      <c:spPr>
        <a:noFill/>
        <a:ln>
          <a:noFill/>
        </a:ln>
        <a:effectLst/>
      </c:spPr>
      <c:txPr>
        <a:bodyPr rot="0" vert="horz"/>
        <a:lstStyle/>
        <a:p>
          <a:pPr>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s-E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973950131233608"/>
          <c:y val="4.8164667829015746E-2"/>
          <c:w val="0.69507305336832914"/>
          <c:h val="0.8794800887551435"/>
        </c:manualLayout>
      </c:layout>
      <c:barChart>
        <c:barDir val="bar"/>
        <c:grouping val="clustered"/>
        <c:varyColors val="0"/>
        <c:ser>
          <c:idx val="0"/>
          <c:order val="0"/>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7D95-49F8-BF21-05ABA45585B0}"/>
              </c:ext>
            </c:extLst>
          </c:dPt>
          <c:dPt>
            <c:idx val="26"/>
            <c:invertIfNegative val="0"/>
            <c:bubble3D val="0"/>
            <c:spPr>
              <a:solidFill>
                <a:srgbClr val="FFC000"/>
              </a:solidFill>
            </c:spPr>
            <c:extLst xmlns:c16r2="http://schemas.microsoft.com/office/drawing/2015/06/chart">
              <c:ext xmlns:c16="http://schemas.microsoft.com/office/drawing/2014/chart" uri="{C3380CC4-5D6E-409C-BE32-E72D297353CC}">
                <c16:uniqueId val="{00000003-7D95-49F8-BF21-05ABA45585B0}"/>
              </c:ext>
            </c:extLst>
          </c:dPt>
          <c:dPt>
            <c:idx val="31"/>
            <c:invertIfNegative val="0"/>
            <c:bubble3D val="0"/>
            <c:spPr>
              <a:solidFill>
                <a:srgbClr val="FF0000"/>
              </a:solidFill>
            </c:spPr>
            <c:extLst xmlns:c16r2="http://schemas.microsoft.com/office/drawing/2015/06/chart">
              <c:ext xmlns:c16="http://schemas.microsoft.com/office/drawing/2014/chart" uri="{C3380CC4-5D6E-409C-BE32-E72D297353CC}">
                <c16:uniqueId val="{00000005-7D95-49F8-BF21-05ABA45585B0}"/>
              </c:ext>
            </c:extLst>
          </c:dPt>
          <c:cat>
            <c:strRef>
              <c:f>Hoja1!$H$6:$H$37</c:f>
              <c:strCache>
                <c:ptCount val="32"/>
                <c:pt idx="0">
                  <c:v>Distrito Federal</c:v>
                </c:pt>
                <c:pt idx="1">
                  <c:v>Nuevo León</c:v>
                </c:pt>
                <c:pt idx="2">
                  <c:v>Coahuila</c:v>
                </c:pt>
                <c:pt idx="3">
                  <c:v>Querétaro</c:v>
                </c:pt>
                <c:pt idx="4">
                  <c:v>Morelos</c:v>
                </c:pt>
                <c:pt idx="5">
                  <c:v>Aguascalientes</c:v>
                </c:pt>
                <c:pt idx="6">
                  <c:v>Guanajuato</c:v>
                </c:pt>
                <c:pt idx="7">
                  <c:v>San Luis Potosí</c:v>
                </c:pt>
                <c:pt idx="8">
                  <c:v>Puebla</c:v>
                </c:pt>
                <c:pt idx="9">
                  <c:v>Sonora</c:v>
                </c:pt>
                <c:pt idx="10">
                  <c:v>México</c:v>
                </c:pt>
                <c:pt idx="11">
                  <c:v>Baja California</c:v>
                </c:pt>
                <c:pt idx="12">
                  <c:v>Jalisco</c:v>
                </c:pt>
                <c:pt idx="13">
                  <c:v>Chihuahua</c:v>
                </c:pt>
                <c:pt idx="14">
                  <c:v>Yucatán</c:v>
                </c:pt>
                <c:pt idx="15">
                  <c:v>Tlaxcala</c:v>
                </c:pt>
                <c:pt idx="16">
                  <c:v>Colima</c:v>
                </c:pt>
                <c:pt idx="17">
                  <c:v>Durango</c:v>
                </c:pt>
                <c:pt idx="18">
                  <c:v>Tamaulipas</c:v>
                </c:pt>
                <c:pt idx="19">
                  <c:v>Zacatecas</c:v>
                </c:pt>
                <c:pt idx="20">
                  <c:v>Baja California Sur</c:v>
                </c:pt>
                <c:pt idx="21">
                  <c:v>Sinaloa</c:v>
                </c:pt>
                <c:pt idx="22">
                  <c:v>Veracruz</c:v>
                </c:pt>
                <c:pt idx="23">
                  <c:v>Hidalgo</c:v>
                </c:pt>
                <c:pt idx="24">
                  <c:v>Campeche</c:v>
                </c:pt>
                <c:pt idx="25">
                  <c:v>Quintana Roo</c:v>
                </c:pt>
                <c:pt idx="26">
                  <c:v>Michoacán</c:v>
                </c:pt>
                <c:pt idx="27">
                  <c:v>Tabasco</c:v>
                </c:pt>
                <c:pt idx="28">
                  <c:v>Chiapas</c:v>
                </c:pt>
                <c:pt idx="29">
                  <c:v>Guerrero</c:v>
                </c:pt>
                <c:pt idx="30">
                  <c:v>Nayarit</c:v>
                </c:pt>
                <c:pt idx="31">
                  <c:v>Oaxaca</c:v>
                </c:pt>
              </c:strCache>
            </c:strRef>
          </c:cat>
          <c:val>
            <c:numRef>
              <c:f>Hoja1!$I$6:$I$37</c:f>
              <c:numCache>
                <c:formatCode>0.0</c:formatCode>
                <c:ptCount val="32"/>
                <c:pt idx="0">
                  <c:v>73.895078524015787</c:v>
                </c:pt>
                <c:pt idx="1">
                  <c:v>60.539596502739514</c:v>
                </c:pt>
                <c:pt idx="2">
                  <c:v>48.998409532228081</c:v>
                </c:pt>
                <c:pt idx="3">
                  <c:v>45.445236870046244</c:v>
                </c:pt>
                <c:pt idx="4">
                  <c:v>40.14893094306575</c:v>
                </c:pt>
                <c:pt idx="5">
                  <c:v>39.640532890209428</c:v>
                </c:pt>
                <c:pt idx="6">
                  <c:v>34.025184118662764</c:v>
                </c:pt>
                <c:pt idx="7">
                  <c:v>33.820649604357129</c:v>
                </c:pt>
                <c:pt idx="8">
                  <c:v>32.693440305137365</c:v>
                </c:pt>
                <c:pt idx="9">
                  <c:v>32.45820291167324</c:v>
                </c:pt>
                <c:pt idx="10">
                  <c:v>31.002532417644929</c:v>
                </c:pt>
                <c:pt idx="11">
                  <c:v>29.434561189082423</c:v>
                </c:pt>
                <c:pt idx="12">
                  <c:v>28.911961611909796</c:v>
                </c:pt>
                <c:pt idx="13">
                  <c:v>28.025569145030829</c:v>
                </c:pt>
                <c:pt idx="14">
                  <c:v>26.446351181222152</c:v>
                </c:pt>
                <c:pt idx="15">
                  <c:v>26.342782327411811</c:v>
                </c:pt>
                <c:pt idx="16">
                  <c:v>24.789461675997689</c:v>
                </c:pt>
                <c:pt idx="17">
                  <c:v>23.817837252972051</c:v>
                </c:pt>
                <c:pt idx="18">
                  <c:v>21.315240630687704</c:v>
                </c:pt>
                <c:pt idx="19">
                  <c:v>20.652711275649384</c:v>
                </c:pt>
                <c:pt idx="20">
                  <c:v>20.203436484609806</c:v>
                </c:pt>
                <c:pt idx="21">
                  <c:v>19.968028683536723</c:v>
                </c:pt>
                <c:pt idx="22">
                  <c:v>19.444625190485667</c:v>
                </c:pt>
                <c:pt idx="23">
                  <c:v>19.033879503006386</c:v>
                </c:pt>
                <c:pt idx="24">
                  <c:v>18.904396844753514</c:v>
                </c:pt>
                <c:pt idx="25">
                  <c:v>18.271386159745568</c:v>
                </c:pt>
                <c:pt idx="26">
                  <c:v>18.220246961329174</c:v>
                </c:pt>
                <c:pt idx="27">
                  <c:v>18.219272593249737</c:v>
                </c:pt>
                <c:pt idx="28">
                  <c:v>13.206102248408961</c:v>
                </c:pt>
                <c:pt idx="29">
                  <c:v>12.89415839022927</c:v>
                </c:pt>
                <c:pt idx="30">
                  <c:v>11.878092898950843</c:v>
                </c:pt>
                <c:pt idx="31">
                  <c:v>10.921496790994137</c:v>
                </c:pt>
              </c:numCache>
            </c:numRef>
          </c:val>
          <c:extLst xmlns:c16r2="http://schemas.microsoft.com/office/drawing/2015/06/chart">
            <c:ext xmlns:c16="http://schemas.microsoft.com/office/drawing/2014/chart" uri="{C3380CC4-5D6E-409C-BE32-E72D297353CC}">
              <c16:uniqueId val="{00000006-7D95-49F8-BF21-05ABA45585B0}"/>
            </c:ext>
          </c:extLst>
        </c:ser>
        <c:dLbls>
          <c:showLegendKey val="0"/>
          <c:showVal val="0"/>
          <c:showCatName val="0"/>
          <c:showSerName val="0"/>
          <c:showPercent val="0"/>
          <c:showBubbleSize val="0"/>
        </c:dLbls>
        <c:gapWidth val="150"/>
        <c:axId val="664597808"/>
        <c:axId val="664600552"/>
      </c:barChart>
      <c:catAx>
        <c:axId val="664597808"/>
        <c:scaling>
          <c:orientation val="maxMin"/>
        </c:scaling>
        <c:delete val="0"/>
        <c:axPos val="l"/>
        <c:numFmt formatCode="General" sourceLinked="0"/>
        <c:majorTickMark val="out"/>
        <c:minorTickMark val="none"/>
        <c:tickLblPos val="nextTo"/>
        <c:crossAx val="664600552"/>
        <c:crosses val="autoZero"/>
        <c:auto val="1"/>
        <c:lblAlgn val="ctr"/>
        <c:lblOffset val="100"/>
        <c:noMultiLvlLbl val="0"/>
      </c:catAx>
      <c:valAx>
        <c:axId val="664600552"/>
        <c:scaling>
          <c:orientation val="minMax"/>
        </c:scaling>
        <c:delete val="0"/>
        <c:axPos val="t"/>
        <c:majorGridlines/>
        <c:numFmt formatCode="0.0" sourceLinked="1"/>
        <c:majorTickMark val="out"/>
        <c:minorTickMark val="none"/>
        <c:tickLblPos val="nextTo"/>
        <c:crossAx val="664597808"/>
        <c:crosses val="autoZero"/>
        <c:crossBetween val="between"/>
      </c:valAx>
    </c:plotArea>
    <c:plotVisOnly val="1"/>
    <c:dispBlanksAs val="gap"/>
    <c:showDLblsOverMax val="0"/>
  </c:chart>
  <c:txPr>
    <a:bodyPr/>
    <a:lstStyle/>
    <a:p>
      <a:pPr>
        <a:defRPr sz="700" baseline="0"/>
      </a:pPr>
      <a:endParaRPr lang="es-ES"/>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0.0624</cdr:x>
      <cdr:y>0.94961</cdr:y>
    </cdr:from>
    <cdr:to>
      <cdr:x>0.94389</cdr:x>
      <cdr:y>0.99992</cdr:y>
    </cdr:to>
    <cdr:sp macro="" textlink="">
      <cdr:nvSpPr>
        <cdr:cNvPr id="2" name="1 CuadroTexto"/>
        <cdr:cNvSpPr txBox="1"/>
      </cdr:nvSpPr>
      <cdr:spPr>
        <a:xfrm xmlns:a="http://schemas.openxmlformats.org/drawingml/2006/main">
          <a:off x="354806" y="7231510"/>
          <a:ext cx="5012532" cy="3831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800">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0.03144</cdr:x>
      <cdr:y>0.04755</cdr:y>
    </cdr:from>
    <cdr:to>
      <cdr:x>0.9691</cdr:x>
      <cdr:y>0.19751</cdr:y>
    </cdr:to>
    <cdr:sp macro="" textlink="">
      <cdr:nvSpPr>
        <cdr:cNvPr id="8" name="2 Rectángulo redondeado"/>
        <cdr:cNvSpPr/>
      </cdr:nvSpPr>
      <cdr:spPr>
        <a:xfrm xmlns:a="http://schemas.openxmlformats.org/drawingml/2006/main">
          <a:off x="76074" y="185261"/>
          <a:ext cx="2268528" cy="584203"/>
        </a:xfrm>
        <a:prstGeom xmlns:a="http://schemas.openxmlformats.org/drawingml/2006/main" prst="roundRect">
          <a:avLst>
            <a:gd name="adj" fmla="val 13810"/>
          </a:avLst>
        </a:prstGeom>
        <a:noFill xmlns:a="http://schemas.openxmlformats.org/drawingml/2006/main"/>
        <a:ln xmlns:a="http://schemas.openxmlformats.org/drawingml/2006/main">
          <a:solidFill>
            <a:srgbClr val="0070C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MX" sz="1100"/>
        </a:p>
      </cdr:txBody>
    </cdr:sp>
  </cdr:relSizeAnchor>
  <cdr:relSizeAnchor xmlns:cdr="http://schemas.openxmlformats.org/drawingml/2006/chartDrawing">
    <cdr:from>
      <cdr:x>0</cdr:x>
      <cdr:y>0.04078</cdr:y>
    </cdr:from>
    <cdr:to>
      <cdr:x>0.95819</cdr:x>
      <cdr:y>0.33206</cdr:y>
    </cdr:to>
    <cdr:sp macro="" textlink="">
      <cdr:nvSpPr>
        <cdr:cNvPr id="9" name="3 Rectángulo redondeado"/>
        <cdr:cNvSpPr/>
      </cdr:nvSpPr>
      <cdr:spPr>
        <a:xfrm xmlns:a="http://schemas.openxmlformats.org/drawingml/2006/main">
          <a:off x="0" y="158867"/>
          <a:ext cx="2318197" cy="1134747"/>
        </a:xfrm>
        <a:prstGeom xmlns:a="http://schemas.openxmlformats.org/drawingml/2006/main" prst="roundRect">
          <a:avLst>
            <a:gd name="adj" fmla="val 6808"/>
          </a:avLst>
        </a:prstGeom>
        <a:noFill xmlns:a="http://schemas.openxmlformats.org/drawingml/2006/main"/>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MX" sz="1100"/>
        </a:p>
      </cdr:txBody>
    </cdr:sp>
  </cdr:relSizeAnchor>
  <cdr:relSizeAnchor xmlns:cdr="http://schemas.openxmlformats.org/drawingml/2006/chartDrawing">
    <cdr:from>
      <cdr:x>0.66667</cdr:x>
      <cdr:y>0.10719</cdr:y>
    </cdr:from>
    <cdr:to>
      <cdr:x>0.7638</cdr:x>
      <cdr:y>0.15434</cdr:y>
    </cdr:to>
    <cdr:sp macro="" textlink="">
      <cdr:nvSpPr>
        <cdr:cNvPr id="10" name="4 CuadroTexto"/>
        <cdr:cNvSpPr txBox="1"/>
      </cdr:nvSpPr>
      <cdr:spPr>
        <a:xfrm xmlns:a="http://schemas.openxmlformats.org/drawingml/2006/main">
          <a:off x="2784476" y="708025"/>
          <a:ext cx="405688" cy="3114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MX" sz="1400" b="1"/>
            <a:t>+ 5</a:t>
          </a:r>
        </a:p>
      </cdr:txBody>
    </cdr:sp>
  </cdr:relSizeAnchor>
  <cdr:relSizeAnchor xmlns:cdr="http://schemas.openxmlformats.org/drawingml/2006/chartDrawing">
    <cdr:from>
      <cdr:x>0.66667</cdr:x>
      <cdr:y>0.25282</cdr:y>
    </cdr:from>
    <cdr:to>
      <cdr:x>0.78558</cdr:x>
      <cdr:y>0.29998</cdr:y>
    </cdr:to>
    <cdr:sp macro="" textlink="">
      <cdr:nvSpPr>
        <cdr:cNvPr id="11" name="5 CuadroTexto"/>
        <cdr:cNvSpPr txBox="1"/>
      </cdr:nvSpPr>
      <cdr:spPr>
        <a:xfrm xmlns:a="http://schemas.openxmlformats.org/drawingml/2006/main">
          <a:off x="2784476" y="1670050"/>
          <a:ext cx="496674" cy="3114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MX" sz="1400" b="1"/>
            <a:t>+ 10</a:t>
          </a:r>
        </a:p>
      </cdr:txBody>
    </cdr:sp>
  </cdr:relSizeAnchor>
  <cdr:relSizeAnchor xmlns:cdr="http://schemas.openxmlformats.org/drawingml/2006/chartDrawing">
    <cdr:from>
      <cdr:x>0.0076</cdr:x>
      <cdr:y>0.65225</cdr:y>
    </cdr:from>
    <cdr:to>
      <cdr:x>0.96807</cdr:x>
      <cdr:y>0.93511</cdr:y>
    </cdr:to>
    <cdr:sp macro="" textlink="">
      <cdr:nvSpPr>
        <cdr:cNvPr id="12" name="6 Rectángulo redondeado"/>
        <cdr:cNvSpPr/>
      </cdr:nvSpPr>
      <cdr:spPr>
        <a:xfrm xmlns:a="http://schemas.openxmlformats.org/drawingml/2006/main">
          <a:off x="31750" y="4308475"/>
          <a:ext cx="4011613" cy="1868489"/>
        </a:xfrm>
        <a:prstGeom xmlns:a="http://schemas.openxmlformats.org/drawingml/2006/main" prst="roundRect">
          <a:avLst>
            <a:gd name="adj" fmla="val 6808"/>
          </a:avLst>
        </a:prstGeom>
        <a:noFill xmlns:a="http://schemas.openxmlformats.org/drawingml/2006/main"/>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MX" sz="1100"/>
        </a:p>
      </cdr:txBody>
    </cdr:sp>
  </cdr:relSizeAnchor>
  <cdr:relSizeAnchor xmlns:cdr="http://schemas.openxmlformats.org/drawingml/2006/chartDrawing">
    <cdr:from>
      <cdr:x>0.82858</cdr:x>
      <cdr:y>0.87142</cdr:y>
    </cdr:from>
    <cdr:to>
      <cdr:x>0.93924</cdr:x>
      <cdr:y>0.91858</cdr:y>
    </cdr:to>
    <cdr:sp macro="" textlink="">
      <cdr:nvSpPr>
        <cdr:cNvPr id="13" name="7 CuadroTexto"/>
        <cdr:cNvSpPr txBox="1"/>
      </cdr:nvSpPr>
      <cdr:spPr>
        <a:xfrm xmlns:a="http://schemas.openxmlformats.org/drawingml/2006/main">
          <a:off x="3460751" y="5756275"/>
          <a:ext cx="462178" cy="3114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MX" sz="1400" b="1"/>
            <a:t>- 10</a:t>
          </a:r>
        </a:p>
      </cdr:txBody>
    </cdr:sp>
  </cdr:relSizeAnchor>
  <cdr:relSizeAnchor xmlns:cdr="http://schemas.openxmlformats.org/drawingml/2006/chartDrawing">
    <cdr:from>
      <cdr:x>0.42037</cdr:x>
      <cdr:y>0.74886</cdr:y>
    </cdr:from>
    <cdr:to>
      <cdr:x>0.5627</cdr:x>
      <cdr:y>0.79601</cdr:y>
    </cdr:to>
    <cdr:sp macro="" textlink="">
      <cdr:nvSpPr>
        <cdr:cNvPr id="15" name="7 CuadroTexto"/>
        <cdr:cNvSpPr txBox="1"/>
      </cdr:nvSpPr>
      <cdr:spPr>
        <a:xfrm xmlns:a="http://schemas.openxmlformats.org/drawingml/2006/main">
          <a:off x="1755776" y="4946650"/>
          <a:ext cx="594458" cy="3114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MX" sz="1400" b="1"/>
            <a:t>Rk 27</a:t>
          </a:r>
        </a:p>
      </cdr:txBody>
    </cdr:sp>
  </cdr:relSizeAnchor>
</c:userShapes>
</file>

<file path=word/drawings/drawing3.xml><?xml version="1.0" encoding="utf-8"?>
<c:userShapes xmlns:c="http://schemas.openxmlformats.org/drawingml/2006/chart">
  <cdr:relSizeAnchor xmlns:cdr="http://schemas.openxmlformats.org/drawingml/2006/chartDrawing">
    <cdr:from>
      <cdr:x>0.02795</cdr:x>
      <cdr:y>0.04052</cdr:y>
    </cdr:from>
    <cdr:to>
      <cdr:x>0.91308</cdr:x>
      <cdr:y>0.18615</cdr:y>
    </cdr:to>
    <cdr:sp macro="" textlink="">
      <cdr:nvSpPr>
        <cdr:cNvPr id="2" name="2 Rectángulo redondeado"/>
        <cdr:cNvSpPr/>
      </cdr:nvSpPr>
      <cdr:spPr>
        <a:xfrm xmlns:a="http://schemas.openxmlformats.org/drawingml/2006/main">
          <a:off x="82964" y="185715"/>
          <a:ext cx="2627620" cy="667485"/>
        </a:xfrm>
        <a:prstGeom xmlns:a="http://schemas.openxmlformats.org/drawingml/2006/main" prst="roundRect">
          <a:avLst>
            <a:gd name="adj" fmla="val 13810"/>
          </a:avLst>
        </a:prstGeom>
        <a:noFill xmlns:a="http://schemas.openxmlformats.org/drawingml/2006/main"/>
        <a:ln xmlns:a="http://schemas.openxmlformats.org/drawingml/2006/main">
          <a:solidFill>
            <a:srgbClr val="0070C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MX" sz="1100"/>
        </a:p>
      </cdr:txBody>
    </cdr:sp>
  </cdr:relSizeAnchor>
  <cdr:relSizeAnchor xmlns:cdr="http://schemas.openxmlformats.org/drawingml/2006/chartDrawing">
    <cdr:from>
      <cdr:x>0.02074</cdr:x>
      <cdr:y>0.03703</cdr:y>
    </cdr:from>
    <cdr:to>
      <cdr:x>0.92732</cdr:x>
      <cdr:y>0.33109</cdr:y>
    </cdr:to>
    <cdr:sp macro="" textlink="">
      <cdr:nvSpPr>
        <cdr:cNvPr id="3" name="3 Rectángulo redondeado"/>
        <cdr:cNvSpPr/>
      </cdr:nvSpPr>
      <cdr:spPr>
        <a:xfrm xmlns:a="http://schemas.openxmlformats.org/drawingml/2006/main">
          <a:off x="61556" y="169702"/>
          <a:ext cx="2691296" cy="1347803"/>
        </a:xfrm>
        <a:prstGeom xmlns:a="http://schemas.openxmlformats.org/drawingml/2006/main" prst="roundRect">
          <a:avLst>
            <a:gd name="adj" fmla="val 6808"/>
          </a:avLst>
        </a:prstGeom>
        <a:noFill xmlns:a="http://schemas.openxmlformats.org/drawingml/2006/main"/>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MX" sz="1100"/>
        </a:p>
      </cdr:txBody>
    </cdr:sp>
  </cdr:relSizeAnchor>
  <cdr:relSizeAnchor xmlns:cdr="http://schemas.openxmlformats.org/drawingml/2006/chartDrawing">
    <cdr:from>
      <cdr:x>0.77986</cdr:x>
      <cdr:y>0.11375</cdr:y>
    </cdr:from>
    <cdr:to>
      <cdr:x>0.86859</cdr:x>
      <cdr:y>0.16379</cdr:y>
    </cdr:to>
    <cdr:sp macro="" textlink="">
      <cdr:nvSpPr>
        <cdr:cNvPr id="4" name="4 CuadroTexto"/>
        <cdr:cNvSpPr txBox="1"/>
      </cdr:nvSpPr>
      <cdr:spPr>
        <a:xfrm xmlns:a="http://schemas.openxmlformats.org/drawingml/2006/main">
          <a:off x="3565526" y="708025"/>
          <a:ext cx="405688" cy="3114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MX" sz="1400" b="1"/>
            <a:t>+ 5</a:t>
          </a:r>
        </a:p>
      </cdr:txBody>
    </cdr:sp>
  </cdr:relSizeAnchor>
  <cdr:relSizeAnchor xmlns:cdr="http://schemas.openxmlformats.org/drawingml/2006/chartDrawing">
    <cdr:from>
      <cdr:x>0.77986</cdr:x>
      <cdr:y>0.24535</cdr:y>
    </cdr:from>
    <cdr:to>
      <cdr:x>0.8885</cdr:x>
      <cdr:y>0.29539</cdr:y>
    </cdr:to>
    <cdr:sp macro="" textlink="">
      <cdr:nvSpPr>
        <cdr:cNvPr id="5" name="5 CuadroTexto"/>
        <cdr:cNvSpPr txBox="1"/>
      </cdr:nvSpPr>
      <cdr:spPr>
        <a:xfrm xmlns:a="http://schemas.openxmlformats.org/drawingml/2006/main">
          <a:off x="3565526" y="1527175"/>
          <a:ext cx="496674" cy="3114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MX" sz="1400" b="1"/>
            <a:t>+ 10</a:t>
          </a:r>
        </a:p>
      </cdr:txBody>
    </cdr:sp>
  </cdr:relSizeAnchor>
  <cdr:relSizeAnchor xmlns:cdr="http://schemas.openxmlformats.org/drawingml/2006/chartDrawing">
    <cdr:from>
      <cdr:x>0.01563</cdr:x>
      <cdr:y>0.64045</cdr:y>
    </cdr:from>
    <cdr:to>
      <cdr:x>0.92188</cdr:x>
      <cdr:y>0.94038</cdr:y>
    </cdr:to>
    <cdr:sp macro="" textlink="">
      <cdr:nvSpPr>
        <cdr:cNvPr id="6" name="6 Rectángulo redondeado"/>
        <cdr:cNvSpPr/>
      </cdr:nvSpPr>
      <cdr:spPr>
        <a:xfrm xmlns:a="http://schemas.openxmlformats.org/drawingml/2006/main">
          <a:off x="67941" y="4035362"/>
          <a:ext cx="3940522" cy="1889754"/>
        </a:xfrm>
        <a:prstGeom xmlns:a="http://schemas.openxmlformats.org/drawingml/2006/main" prst="roundRect">
          <a:avLst>
            <a:gd name="adj" fmla="val 6808"/>
          </a:avLst>
        </a:prstGeom>
        <a:noFill xmlns:a="http://schemas.openxmlformats.org/drawingml/2006/main"/>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s-MX" sz="1100"/>
        </a:p>
      </cdr:txBody>
    </cdr:sp>
  </cdr:relSizeAnchor>
  <cdr:relSizeAnchor xmlns:cdr="http://schemas.openxmlformats.org/drawingml/2006/chartDrawing">
    <cdr:from>
      <cdr:x>0.78611</cdr:x>
      <cdr:y>0.65309</cdr:y>
    </cdr:from>
    <cdr:to>
      <cdr:x>0.8872</cdr:x>
      <cdr:y>0.70314</cdr:y>
    </cdr:to>
    <cdr:sp macro="" textlink="">
      <cdr:nvSpPr>
        <cdr:cNvPr id="7" name="7 CuadroTexto"/>
        <cdr:cNvSpPr txBox="1"/>
      </cdr:nvSpPr>
      <cdr:spPr>
        <a:xfrm xmlns:a="http://schemas.openxmlformats.org/drawingml/2006/main">
          <a:off x="3594101" y="4065243"/>
          <a:ext cx="462178" cy="3114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MX" sz="1400" b="1"/>
            <a:t>- 10</a:t>
          </a:r>
        </a:p>
      </cdr:txBody>
    </cdr:sp>
  </cdr:relSizeAnchor>
  <cdr:relSizeAnchor xmlns:cdr="http://schemas.openxmlformats.org/drawingml/2006/chartDrawing">
    <cdr:from>
      <cdr:x>0.49728</cdr:x>
      <cdr:y>0.32698</cdr:y>
    </cdr:from>
    <cdr:to>
      <cdr:x>0.63399</cdr:x>
      <cdr:y>0.37642</cdr:y>
    </cdr:to>
    <cdr:sp macro="" textlink="">
      <cdr:nvSpPr>
        <cdr:cNvPr id="9" name="5 CuadroTexto"/>
        <cdr:cNvSpPr txBox="1"/>
      </cdr:nvSpPr>
      <cdr:spPr>
        <a:xfrm xmlns:a="http://schemas.openxmlformats.org/drawingml/2006/main">
          <a:off x="2162239" y="2060220"/>
          <a:ext cx="594458" cy="3114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s-MX" sz="1400" b="1"/>
            <a:t>Rk 12</a:t>
          </a:r>
        </a:p>
      </cdr:txBody>
    </cdr:sp>
  </cdr:relSizeAnchor>
</c:userShapes>
</file>

<file path=word/drawings/drawing4.xml><?xml version="1.0" encoding="utf-8"?>
<c:userShapes xmlns:c="http://schemas.openxmlformats.org/drawingml/2006/chart">
  <cdr:relSizeAnchor xmlns:cdr="http://schemas.openxmlformats.org/drawingml/2006/chartDrawing">
    <cdr:from>
      <cdr:x>0.10344</cdr:x>
      <cdr:y>0.04486</cdr:y>
    </cdr:from>
    <cdr:to>
      <cdr:x>0.23106</cdr:x>
      <cdr:y>0.15002</cdr:y>
    </cdr:to>
    <cdr:sp macro="" textlink="">
      <cdr:nvSpPr>
        <cdr:cNvPr id="3" name="2 CuadroTexto"/>
        <cdr:cNvSpPr txBox="1"/>
      </cdr:nvSpPr>
      <cdr:spPr>
        <a:xfrm xmlns:a="http://schemas.openxmlformats.org/drawingml/2006/main">
          <a:off x="741091" y="390063"/>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4B104-71A1-48CF-9440-9ACE93868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98</Pages>
  <Words>33503</Words>
  <Characters>184271</Characters>
  <Application>Microsoft Office Word</Application>
  <DocSecurity>0</DocSecurity>
  <Lines>1535</Lines>
  <Paragraphs>434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217340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dc:creator>
  <cp:keywords/>
  <dc:description/>
  <cp:lastModifiedBy>DGP</cp:lastModifiedBy>
  <cp:revision>21</cp:revision>
  <cp:lastPrinted>2016-08-05T19:59:00Z</cp:lastPrinted>
  <dcterms:created xsi:type="dcterms:W3CDTF">2016-08-05T16:17:00Z</dcterms:created>
  <dcterms:modified xsi:type="dcterms:W3CDTF">2016-08-05T20:04:00Z</dcterms:modified>
</cp:coreProperties>
</file>